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3477" w14:textId="69B88E65" w:rsidR="005151B2" w:rsidRPr="005906D3" w:rsidRDefault="002165D1" w:rsidP="00567D2E">
      <w:pPr>
        <w:jc w:val="center"/>
        <w:rPr>
          <w:sz w:val="28"/>
          <w:szCs w:val="28"/>
        </w:rPr>
      </w:pPr>
      <w:r>
        <w:rPr>
          <w:sz w:val="28"/>
          <w:szCs w:val="28"/>
        </w:rPr>
        <w:t>Third</w:t>
      </w:r>
      <w:r w:rsidR="00677CD2">
        <w:rPr>
          <w:sz w:val="28"/>
          <w:szCs w:val="28"/>
        </w:rPr>
        <w:t xml:space="preserve"> </w:t>
      </w:r>
      <w:r w:rsidR="005E6BB2" w:rsidRPr="005906D3">
        <w:rPr>
          <w:sz w:val="28"/>
          <w:szCs w:val="28"/>
        </w:rPr>
        <w:t>Supplemental Agreement for Additional Funds</w:t>
      </w:r>
    </w:p>
    <w:p w14:paraId="15379DB6" w14:textId="683BA9AE" w:rsidR="005E6BB2" w:rsidRPr="005906D3" w:rsidRDefault="005E6BB2">
      <w:pPr>
        <w:jc w:val="center"/>
        <w:rPr>
          <w:rFonts w:cstheme="minorBidi"/>
          <w:color w:val="auto"/>
          <w:sz w:val="28"/>
          <w:szCs w:val="28"/>
        </w:rPr>
      </w:pPr>
      <w:r w:rsidRPr="005906D3">
        <w:rPr>
          <w:sz w:val="28"/>
          <w:szCs w:val="28"/>
        </w:rPr>
        <w:t>From Additional Settlement</w:t>
      </w:r>
      <w:r w:rsidR="002165D1">
        <w:rPr>
          <w:sz w:val="28"/>
          <w:szCs w:val="28"/>
        </w:rPr>
        <w:t>s</w:t>
      </w:r>
      <w:r w:rsidRPr="005906D3">
        <w:rPr>
          <w:sz w:val="28"/>
          <w:szCs w:val="28"/>
        </w:rPr>
        <w:t xml:space="preserve"> of Opioid Litigation</w:t>
      </w:r>
      <w:r w:rsidR="00502CAB">
        <w:rPr>
          <w:sz w:val="28"/>
          <w:szCs w:val="28"/>
        </w:rPr>
        <w:t xml:space="preserve"> (“SAAF-</w:t>
      </w:r>
      <w:r w:rsidR="002165D1">
        <w:rPr>
          <w:sz w:val="28"/>
          <w:szCs w:val="28"/>
        </w:rPr>
        <w:t>3</w:t>
      </w:r>
      <w:r w:rsidR="00502CAB">
        <w:rPr>
          <w:sz w:val="28"/>
          <w:szCs w:val="28"/>
        </w:rPr>
        <w:t>”)</w:t>
      </w:r>
    </w:p>
    <w:p w14:paraId="11AA18DA" w14:textId="7C937F4E" w:rsidR="005E6BB2" w:rsidRDefault="005E6BB2" w:rsidP="00567D2E"/>
    <w:p w14:paraId="4187C2FB" w14:textId="77777777" w:rsidR="005906D3" w:rsidRPr="004F2A90" w:rsidRDefault="005906D3" w:rsidP="00567D2E"/>
    <w:p w14:paraId="45880C7B" w14:textId="7A0B78A4" w:rsidR="005E6BB2" w:rsidRPr="004F2A90" w:rsidRDefault="005E6BB2">
      <w:pPr>
        <w:rPr>
          <w:rFonts w:cstheme="minorBidi"/>
          <w:b/>
          <w:color w:val="auto"/>
          <w:sz w:val="26"/>
          <w:szCs w:val="26"/>
          <w:u w:val="single"/>
        </w:rPr>
      </w:pPr>
      <w:r w:rsidRPr="004F2A90">
        <w:rPr>
          <w:b/>
          <w:sz w:val="26"/>
          <w:szCs w:val="26"/>
          <w:u w:val="single"/>
        </w:rPr>
        <w:t>I. PURPOSE</w:t>
      </w:r>
    </w:p>
    <w:p w14:paraId="0F53A7BF" w14:textId="77777777" w:rsidR="005E6BB2" w:rsidRPr="004F2A90" w:rsidRDefault="005E6BB2"/>
    <w:p w14:paraId="175714CB" w14:textId="345B6FFC" w:rsidR="005E6BB2" w:rsidRPr="005457A8" w:rsidRDefault="005E6BB2">
      <w:bookmarkStart w:id="0" w:name="_Hlk121111156"/>
      <w:r w:rsidRPr="004F2A90">
        <w:t xml:space="preserve">The purpose of this </w:t>
      </w:r>
      <w:r w:rsidR="002165D1">
        <w:t>Third</w:t>
      </w:r>
      <w:r w:rsidR="00677CD2">
        <w:t xml:space="preserve"> </w:t>
      </w:r>
      <w:r w:rsidRPr="004F2A90">
        <w:t xml:space="preserve">Supplemental </w:t>
      </w:r>
      <w:r w:rsidR="005969F7" w:rsidRPr="004F2A90">
        <w:rPr>
          <w:rFonts w:cstheme="minorHAnsi"/>
        </w:rPr>
        <w:t>Agreement</w:t>
      </w:r>
      <w:r w:rsidRPr="004F2A90">
        <w:t xml:space="preserve"> for Additional Funds </w:t>
      </w:r>
      <w:r w:rsidR="005969F7" w:rsidRPr="004F2A90">
        <w:rPr>
          <w:rFonts w:cstheme="minorHAnsi"/>
        </w:rPr>
        <w:t>(“</w:t>
      </w:r>
      <w:r w:rsidR="00502CAB">
        <w:t>SAAF-</w:t>
      </w:r>
      <w:r w:rsidR="002165D1">
        <w:t>3</w:t>
      </w:r>
      <w:r w:rsidR="005969F7" w:rsidRPr="004F2A90">
        <w:rPr>
          <w:rFonts w:cstheme="minorHAnsi"/>
        </w:rPr>
        <w:t>”)</w:t>
      </w:r>
      <w:r w:rsidRPr="004F2A90">
        <w:t xml:space="preserve"> is to direct </w:t>
      </w:r>
      <w:r w:rsidR="002165D1">
        <w:t>Secondary Opioid Manufacturer</w:t>
      </w:r>
      <w:r w:rsidR="00677CD2">
        <w:t xml:space="preserve"> Funds from the </w:t>
      </w:r>
      <w:r w:rsidR="002165D1">
        <w:t>Secondary Opioid Manufacturer</w:t>
      </w:r>
      <w:r w:rsidR="00677CD2">
        <w:t xml:space="preserve"> Settlement</w:t>
      </w:r>
      <w:r w:rsidR="002165D1">
        <w:t>s</w:t>
      </w:r>
      <w:r w:rsidR="00677CD2">
        <w:t xml:space="preserve"> </w:t>
      </w:r>
      <w:r w:rsidRPr="004F2A90">
        <w:t>to the state of North Carolina and local governments in a manner consistent with t</w:t>
      </w:r>
      <w:r w:rsidR="002415EC" w:rsidRPr="004F2A90">
        <w:t xml:space="preserve">he </w:t>
      </w:r>
      <w:r w:rsidR="00324874">
        <w:t>202</w:t>
      </w:r>
      <w:r w:rsidR="000F459A">
        <w:t>1</w:t>
      </w:r>
      <w:r w:rsidR="00324874">
        <w:t xml:space="preserve"> </w:t>
      </w:r>
      <w:r w:rsidR="002415EC" w:rsidRPr="004F2A90">
        <w:t>Memorandum</w:t>
      </w:r>
      <w:r w:rsidR="002415EC" w:rsidRPr="005457A8">
        <w:t xml:space="preserve"> of Agreement </w:t>
      </w:r>
      <w:r w:rsidR="00E91960" w:rsidRPr="005457A8">
        <w:rPr>
          <w:rFonts w:cstheme="minorHAnsi"/>
        </w:rPr>
        <w:t>(“</w:t>
      </w:r>
      <w:r w:rsidR="002415EC" w:rsidRPr="005457A8">
        <w:t>MOA</w:t>
      </w:r>
      <w:r w:rsidR="00E91960" w:rsidRPr="005457A8">
        <w:rPr>
          <w:rFonts w:cstheme="minorHAnsi"/>
        </w:rPr>
        <w:t>”)</w:t>
      </w:r>
      <w:r w:rsidRPr="005457A8">
        <w:t xml:space="preserve"> Between the State of North Carolina and Local Governments on Proceeds Relating to the Settlement of Opioid Litigation</w:t>
      </w:r>
      <w:r w:rsidR="009617C7">
        <w:t xml:space="preserve"> </w:t>
      </w:r>
      <w:r w:rsidR="00324874">
        <w:t>(finalized in 2022)</w:t>
      </w:r>
      <w:r w:rsidR="002165D1">
        <w:t xml:space="preserve">, </w:t>
      </w:r>
      <w:r w:rsidR="00F41D07">
        <w:t xml:space="preserve">the </w:t>
      </w:r>
      <w:r w:rsidR="00324874">
        <w:t xml:space="preserve">2023 </w:t>
      </w:r>
      <w:r w:rsidR="00F41D07">
        <w:t>Supplemental Agreement for Additional Funds From Additional Settlements of Opioid Litigation (“SAAF”)</w:t>
      </w:r>
      <w:r w:rsidR="002165D1">
        <w:t>, and the 2024 Second Supplemental Agreement for Additional Funds From Additional Settlement of Opioid Litigation (“SAAF-2”). These prior agreements</w:t>
      </w:r>
      <w:r w:rsidR="009617C7">
        <w:t xml:space="preserve"> </w:t>
      </w:r>
      <w:r w:rsidR="00324874">
        <w:t>govern</w:t>
      </w:r>
      <w:r w:rsidRPr="005457A8">
        <w:t xml:space="preserve"> the distribution of Opioid Settlement Funds to the State and its Local Governments.</w:t>
      </w:r>
      <w:r w:rsidR="00E91960" w:rsidRPr="005457A8">
        <w:rPr>
          <w:rFonts w:cstheme="minorHAnsi"/>
        </w:rPr>
        <w:t xml:space="preserve">  </w:t>
      </w:r>
    </w:p>
    <w:p w14:paraId="02C57163" w14:textId="77777777" w:rsidR="005E6BB2" w:rsidRPr="005457A8" w:rsidRDefault="005E6BB2"/>
    <w:p w14:paraId="6B9B9AEF" w14:textId="704A0A69" w:rsidR="00A07C59" w:rsidRPr="005457A8" w:rsidRDefault="005E6BB2">
      <w:r w:rsidRPr="005457A8">
        <w:t xml:space="preserve">This </w:t>
      </w:r>
      <w:r w:rsidR="00502CAB">
        <w:t>SAAF-</w:t>
      </w:r>
      <w:r w:rsidR="002165D1">
        <w:t>3</w:t>
      </w:r>
      <w:r w:rsidRPr="005457A8">
        <w:t xml:space="preserve"> does not change the scope or meaning of the MOA</w:t>
      </w:r>
      <w:r w:rsidR="002165D1">
        <w:t xml:space="preserve">, </w:t>
      </w:r>
      <w:r w:rsidR="00F41D07">
        <w:t>SAAF</w:t>
      </w:r>
      <w:r w:rsidR="002165D1">
        <w:t>, or SAAF-2</w:t>
      </w:r>
      <w:r w:rsidR="00F41D07">
        <w:t xml:space="preserve"> </w:t>
      </w:r>
      <w:r w:rsidRPr="005457A8">
        <w:t>with respect to Opioid Settlement Funds governed by the MOA</w:t>
      </w:r>
      <w:r w:rsidR="002165D1">
        <w:t>, the</w:t>
      </w:r>
      <w:r w:rsidR="00F41D07">
        <w:t xml:space="preserve"> Additional Funds governed by the SAAF</w:t>
      </w:r>
      <w:r w:rsidR="002165D1">
        <w:t>, or the Kroger Funds governed by the SAAF-2</w:t>
      </w:r>
      <w:r w:rsidR="002415EC" w:rsidRPr="005457A8">
        <w:t>.</w:t>
      </w:r>
      <w:r w:rsidRPr="005457A8">
        <w:t xml:space="preserve">  Instead, this </w:t>
      </w:r>
      <w:r w:rsidR="00502CAB">
        <w:t>SAAF-</w:t>
      </w:r>
      <w:r w:rsidR="002165D1">
        <w:t>3</w:t>
      </w:r>
      <w:r w:rsidRPr="005457A8">
        <w:t xml:space="preserve"> applies the terms of the MOA – with certain clarifications noted below – to the </w:t>
      </w:r>
      <w:r w:rsidR="002165D1">
        <w:t>Secondary Opioid Manufacturer</w:t>
      </w:r>
      <w:r w:rsidR="00677CD2">
        <w:t xml:space="preserve"> Funds from the </w:t>
      </w:r>
      <w:r w:rsidR="002165D1">
        <w:t>Secondary Opioid Manufacturer</w:t>
      </w:r>
      <w:r w:rsidR="00677CD2">
        <w:t xml:space="preserve"> Settlement</w:t>
      </w:r>
      <w:r w:rsidR="002165D1">
        <w:t>s</w:t>
      </w:r>
      <w:r w:rsidR="00677CD2">
        <w:t xml:space="preserve"> </w:t>
      </w:r>
      <w:r w:rsidRPr="005457A8">
        <w:t>described below.</w:t>
      </w:r>
    </w:p>
    <w:bookmarkEnd w:id="0"/>
    <w:p w14:paraId="4B93B6F7" w14:textId="77777777" w:rsidR="005E6BB2" w:rsidRPr="005457A8" w:rsidRDefault="005E6BB2"/>
    <w:p w14:paraId="7CDF011C" w14:textId="77777777" w:rsidR="005E6BB2" w:rsidRPr="005457A8" w:rsidRDefault="005E6BB2"/>
    <w:p w14:paraId="123A9825" w14:textId="1132F878" w:rsidR="005E6BB2" w:rsidRPr="005457A8" w:rsidRDefault="005E6BB2">
      <w:pPr>
        <w:rPr>
          <w:b/>
          <w:sz w:val="26"/>
          <w:u w:val="single"/>
        </w:rPr>
      </w:pPr>
      <w:r w:rsidRPr="005457A8">
        <w:rPr>
          <w:b/>
          <w:sz w:val="26"/>
          <w:u w:val="single"/>
        </w:rPr>
        <w:t xml:space="preserve">II. </w:t>
      </w:r>
      <w:r w:rsidR="00FF79B9" w:rsidRPr="005457A8">
        <w:rPr>
          <w:rFonts w:cstheme="minorHAnsi"/>
          <w:b/>
          <w:bCs/>
          <w:sz w:val="26"/>
          <w:szCs w:val="26"/>
          <w:u w:val="single"/>
        </w:rPr>
        <w:t xml:space="preserve"> </w:t>
      </w:r>
      <w:r w:rsidRPr="005457A8">
        <w:rPr>
          <w:b/>
          <w:sz w:val="26"/>
          <w:u w:val="single"/>
        </w:rPr>
        <w:t>SCOPE</w:t>
      </w:r>
    </w:p>
    <w:p w14:paraId="6CEB786A" w14:textId="77777777" w:rsidR="005E6BB2" w:rsidRPr="005457A8" w:rsidRDefault="005E6BB2"/>
    <w:p w14:paraId="20776475" w14:textId="77777777" w:rsidR="005E6BB2" w:rsidRPr="005457A8" w:rsidRDefault="005E6BB2" w:rsidP="00170A4F">
      <w:pPr>
        <w:pStyle w:val="ListParagraph"/>
        <w:numPr>
          <w:ilvl w:val="0"/>
          <w:numId w:val="25"/>
        </w:numPr>
      </w:pPr>
      <w:r w:rsidRPr="005457A8">
        <w:t>Scope of the MOA.  Under the terms of the MOA, the MOA governs Opioid Settlement Funds from:</w:t>
      </w:r>
    </w:p>
    <w:p w14:paraId="1F55B05A" w14:textId="77777777" w:rsidR="005E6BB2" w:rsidRPr="005457A8" w:rsidRDefault="005E6BB2" w:rsidP="00170A4F">
      <w:pPr>
        <w:pStyle w:val="ListParagraph"/>
        <w:ind w:left="1440"/>
      </w:pPr>
    </w:p>
    <w:p w14:paraId="355B29FD" w14:textId="77777777" w:rsidR="005E6BB2" w:rsidRPr="005457A8" w:rsidRDefault="005E6BB2" w:rsidP="00170A4F">
      <w:pPr>
        <w:pStyle w:val="ListParagraph"/>
        <w:numPr>
          <w:ilvl w:val="1"/>
          <w:numId w:val="25"/>
        </w:numPr>
      </w:pPr>
      <w:r w:rsidRPr="005457A8">
        <w:t>The National Settlement Agreement with the drug distributors Cardinal, McKesson, and AmerisourceBergen and the drug maker Johnson &amp; Johnson and its subsidiary Janssen Pharmaceuticals; and</w:t>
      </w:r>
    </w:p>
    <w:p w14:paraId="056698B8" w14:textId="77777777" w:rsidR="005E6BB2" w:rsidRPr="005457A8" w:rsidRDefault="005E6BB2" w:rsidP="00170A4F">
      <w:pPr>
        <w:pStyle w:val="ListParagraph"/>
        <w:ind w:left="1440"/>
      </w:pPr>
    </w:p>
    <w:p w14:paraId="4BFD7B19" w14:textId="66A26B64" w:rsidR="007575FD" w:rsidRPr="005457A8" w:rsidRDefault="007575FD" w:rsidP="00170A4F">
      <w:pPr>
        <w:pStyle w:val="ListParagraph"/>
        <w:numPr>
          <w:ilvl w:val="1"/>
          <w:numId w:val="25"/>
        </w:numPr>
        <w:contextualSpacing w:val="0"/>
      </w:pPr>
      <w:r w:rsidRPr="005457A8">
        <w:t xml:space="preserve">The Bankruptcy Resolution with Mallinckrodt; </w:t>
      </w:r>
      <w:r w:rsidR="00502CAB">
        <w:t xml:space="preserve">the Bankruptcy Resolution with Endo; </w:t>
      </w:r>
      <w:r w:rsidRPr="005457A8">
        <w:t xml:space="preserve">any Bankruptcy Resolution with Purdue; and any other Bankruptcy Resolution as the term </w:t>
      </w:r>
      <w:r w:rsidR="00E91960" w:rsidRPr="005457A8">
        <w:rPr>
          <w:rFonts w:cstheme="minorHAnsi"/>
        </w:rPr>
        <w:t>“</w:t>
      </w:r>
      <w:r w:rsidRPr="005457A8">
        <w:t>Bankruptcy Resolution</w:t>
      </w:r>
      <w:r w:rsidR="00E91960" w:rsidRPr="005457A8">
        <w:rPr>
          <w:rFonts w:cstheme="minorHAnsi"/>
        </w:rPr>
        <w:t>”</w:t>
      </w:r>
      <w:r w:rsidRPr="005457A8">
        <w:t xml:space="preserve"> is defined in the MOA.</w:t>
      </w:r>
    </w:p>
    <w:p w14:paraId="56684705" w14:textId="77777777" w:rsidR="007575FD" w:rsidRPr="005457A8" w:rsidRDefault="007575FD" w:rsidP="00567D2E"/>
    <w:p w14:paraId="79797BF4" w14:textId="5017E554" w:rsidR="007575FD" w:rsidRDefault="007575FD" w:rsidP="00170A4F">
      <w:pPr>
        <w:pStyle w:val="ListParagraph"/>
        <w:numPr>
          <w:ilvl w:val="0"/>
          <w:numId w:val="25"/>
        </w:numPr>
        <w:contextualSpacing w:val="0"/>
      </w:pPr>
      <w:r w:rsidRPr="005457A8">
        <w:t xml:space="preserve">Scope of </w:t>
      </w:r>
      <w:r w:rsidR="00677CD2">
        <w:t>the SAAF</w:t>
      </w:r>
      <w:r w:rsidRPr="005457A8">
        <w:t xml:space="preserve">.  </w:t>
      </w:r>
      <w:r w:rsidR="00677CD2">
        <w:t>The SAAF</w:t>
      </w:r>
      <w:r w:rsidRPr="005457A8">
        <w:t xml:space="preserve"> governs Additional Funds from the Additional Settlements with Additional Settling Defendants Walmart, Inc., Teva Pharmaceutical Industries Ltd., Allergan Finance, LLC, Allergan Limited, CVS Health Corporation, CVS Pharmacy, Inc., and Walgreen Co., as well as their </w:t>
      </w:r>
      <w:r w:rsidR="002415EC" w:rsidRPr="005457A8">
        <w:t>subsidiaries</w:t>
      </w:r>
      <w:r w:rsidRPr="005457A8">
        <w:t>, affiliates, officers, and directors named in the Additional Settlements.</w:t>
      </w:r>
    </w:p>
    <w:p w14:paraId="31FED904" w14:textId="45F3821D" w:rsidR="00677CD2" w:rsidRDefault="00677CD2" w:rsidP="00677CD2">
      <w:pPr>
        <w:pStyle w:val="ListParagraph"/>
        <w:contextualSpacing w:val="0"/>
      </w:pPr>
    </w:p>
    <w:p w14:paraId="3A65DC85" w14:textId="0EEF6628" w:rsidR="002165D1" w:rsidRDefault="002165D1" w:rsidP="002165D1">
      <w:pPr>
        <w:pStyle w:val="ListParagraph"/>
        <w:numPr>
          <w:ilvl w:val="0"/>
          <w:numId w:val="25"/>
        </w:numPr>
        <w:contextualSpacing w:val="0"/>
      </w:pPr>
      <w:r w:rsidRPr="005457A8">
        <w:t xml:space="preserve">Scope of </w:t>
      </w:r>
      <w:r>
        <w:t>the SAAF-2</w:t>
      </w:r>
      <w:r w:rsidRPr="005457A8">
        <w:t xml:space="preserve">.  </w:t>
      </w:r>
      <w:r>
        <w:t>The SAAF-2</w:t>
      </w:r>
      <w:r w:rsidRPr="005457A8">
        <w:t xml:space="preserve"> governs </w:t>
      </w:r>
      <w:r>
        <w:t>Kroger</w:t>
      </w:r>
      <w:r w:rsidRPr="005457A8">
        <w:t xml:space="preserve"> Funds from the </w:t>
      </w:r>
      <w:r>
        <w:t xml:space="preserve">Kroger </w:t>
      </w:r>
      <w:r w:rsidRPr="005457A8">
        <w:t xml:space="preserve">Settlement with </w:t>
      </w:r>
      <w:r>
        <w:t xml:space="preserve">the Kroger Co., </w:t>
      </w:r>
      <w:r w:rsidRPr="005457A8">
        <w:t xml:space="preserve">as well as </w:t>
      </w:r>
      <w:r>
        <w:t>its</w:t>
      </w:r>
      <w:r w:rsidRPr="005457A8">
        <w:t xml:space="preserve"> subsidiaries, affiliates, officers, and directors named in the </w:t>
      </w:r>
      <w:r>
        <w:t>Kroger</w:t>
      </w:r>
      <w:r w:rsidRPr="005457A8">
        <w:t xml:space="preserve"> Settlement.</w:t>
      </w:r>
    </w:p>
    <w:p w14:paraId="4BDC5134" w14:textId="77777777" w:rsidR="00A01DDB" w:rsidRDefault="00A01DDB" w:rsidP="00A01DDB">
      <w:pPr>
        <w:pStyle w:val="ListParagraph"/>
      </w:pPr>
    </w:p>
    <w:p w14:paraId="32B26F32" w14:textId="56759D90" w:rsidR="002165D1" w:rsidRDefault="00A01DDB" w:rsidP="003F0A9C">
      <w:pPr>
        <w:pStyle w:val="ListParagraph"/>
        <w:numPr>
          <w:ilvl w:val="0"/>
          <w:numId w:val="25"/>
        </w:numPr>
        <w:contextualSpacing w:val="0"/>
      </w:pPr>
      <w:r>
        <w:t xml:space="preserve">Scope of the SAAF-3.  This SAAF-3 governs Secondary Opioid Manufacturer Funds from the Secondary Opioid Manufacturer Settlements with Secondary Opioid Manufacturer Defendants </w:t>
      </w:r>
      <w:proofErr w:type="spellStart"/>
      <w:r>
        <w:t>Alvogen</w:t>
      </w:r>
      <w:proofErr w:type="spellEnd"/>
      <w:r>
        <w:t xml:space="preserve">, Inc., </w:t>
      </w:r>
      <w:proofErr w:type="spellStart"/>
      <w:r w:rsidRPr="00262EFD">
        <w:rPr>
          <w:bCs/>
          <w:iCs/>
        </w:rPr>
        <w:t>Amneal</w:t>
      </w:r>
      <w:proofErr w:type="spellEnd"/>
      <w:r w:rsidRPr="00262EFD">
        <w:rPr>
          <w:bCs/>
          <w:iCs/>
        </w:rPr>
        <w:t xml:space="preserve"> Pharmaceuticals LLC, </w:t>
      </w:r>
      <w:proofErr w:type="spellStart"/>
      <w:r w:rsidRPr="00262EFD">
        <w:rPr>
          <w:bCs/>
          <w:iCs/>
        </w:rPr>
        <w:t>Apotex</w:t>
      </w:r>
      <w:proofErr w:type="spellEnd"/>
      <w:r w:rsidRPr="00262EFD">
        <w:rPr>
          <w:bCs/>
          <w:iCs/>
        </w:rPr>
        <w:t xml:space="preserve"> Corp., Hikma Pharmaceuticals USA Inc. f/k/a West-Ward Pharmaceuticals Corp., </w:t>
      </w:r>
      <w:r w:rsidR="00262EFD" w:rsidRPr="00262EFD">
        <w:rPr>
          <w:bCs/>
          <w:iCs/>
        </w:rPr>
        <w:t>Indivior Inc., Sun Pharmaceutical Industries, Inc., Viatris Inc., and Zydus Pharmaceuticals (USA) Inc.</w:t>
      </w:r>
      <w:r w:rsidR="00262EFD" w:rsidRPr="005457A8">
        <w:t xml:space="preserve">, as well as their subsidiaries, affiliates, officers, and directors named in the </w:t>
      </w:r>
      <w:r w:rsidR="00262EFD">
        <w:t>Secondary Opioid Manufacturer</w:t>
      </w:r>
      <w:r w:rsidR="00262EFD" w:rsidRPr="005457A8">
        <w:t xml:space="preserve"> Settlements</w:t>
      </w:r>
      <w:r w:rsidR="00262EFD">
        <w:t>.</w:t>
      </w:r>
    </w:p>
    <w:p w14:paraId="024BC9D5" w14:textId="77777777" w:rsidR="002165D1" w:rsidRPr="00324874" w:rsidRDefault="002165D1" w:rsidP="002165D1">
      <w:pPr>
        <w:pStyle w:val="ListParagraph"/>
        <w:contextualSpacing w:val="0"/>
        <w:rPr>
          <w:b/>
          <w:sz w:val="26"/>
          <w:u w:val="single"/>
        </w:rPr>
      </w:pPr>
    </w:p>
    <w:p w14:paraId="4B3FDA40" w14:textId="77777777" w:rsidR="002165D1" w:rsidRPr="00262EFD" w:rsidRDefault="002165D1" w:rsidP="00262EFD">
      <w:pPr>
        <w:rPr>
          <w:b/>
          <w:sz w:val="26"/>
          <w:u w:val="single"/>
        </w:rPr>
      </w:pPr>
    </w:p>
    <w:p w14:paraId="645FC1CF" w14:textId="3806408C" w:rsidR="007575FD" w:rsidRPr="002165D1" w:rsidRDefault="007575FD" w:rsidP="002165D1">
      <w:pPr>
        <w:rPr>
          <w:b/>
          <w:sz w:val="26"/>
          <w:u w:val="single"/>
        </w:rPr>
      </w:pPr>
      <w:r w:rsidRPr="002165D1">
        <w:rPr>
          <w:b/>
          <w:sz w:val="26"/>
          <w:u w:val="single"/>
        </w:rPr>
        <w:t xml:space="preserve">III. </w:t>
      </w:r>
      <w:r w:rsidR="00FF79B9" w:rsidRPr="002165D1">
        <w:rPr>
          <w:rFonts w:cstheme="minorHAnsi"/>
          <w:b/>
          <w:bCs/>
          <w:sz w:val="26"/>
          <w:szCs w:val="26"/>
          <w:u w:val="single"/>
        </w:rPr>
        <w:t xml:space="preserve"> </w:t>
      </w:r>
      <w:r w:rsidRPr="002165D1">
        <w:rPr>
          <w:b/>
          <w:sz w:val="26"/>
          <w:u w:val="single"/>
        </w:rPr>
        <w:t xml:space="preserve">APPLICATION OF THE MOA TO </w:t>
      </w:r>
      <w:r w:rsidR="009617C7" w:rsidRPr="002165D1">
        <w:rPr>
          <w:b/>
          <w:sz w:val="26"/>
          <w:u w:val="single"/>
        </w:rPr>
        <w:t xml:space="preserve">THE </w:t>
      </w:r>
      <w:r w:rsidR="002165D1">
        <w:rPr>
          <w:b/>
          <w:sz w:val="26"/>
          <w:u w:val="single"/>
        </w:rPr>
        <w:t>SECONDARY OPIOID</w:t>
      </w:r>
      <w:r w:rsidR="009617C7" w:rsidRPr="002165D1">
        <w:rPr>
          <w:b/>
          <w:sz w:val="26"/>
          <w:u w:val="single"/>
        </w:rPr>
        <w:t xml:space="preserve"> </w:t>
      </w:r>
      <w:r w:rsidR="00A01DDB">
        <w:rPr>
          <w:b/>
          <w:sz w:val="26"/>
          <w:u w:val="single"/>
        </w:rPr>
        <w:t xml:space="preserve">MANUFACTURER </w:t>
      </w:r>
      <w:r w:rsidR="009617C7" w:rsidRPr="002165D1">
        <w:rPr>
          <w:b/>
          <w:sz w:val="26"/>
          <w:u w:val="single"/>
        </w:rPr>
        <w:t>SETTLEMENT</w:t>
      </w:r>
      <w:r w:rsidR="002165D1">
        <w:rPr>
          <w:b/>
          <w:sz w:val="26"/>
          <w:u w:val="single"/>
        </w:rPr>
        <w:t>S</w:t>
      </w:r>
      <w:r w:rsidR="009617C7" w:rsidRPr="002165D1">
        <w:rPr>
          <w:b/>
          <w:sz w:val="26"/>
          <w:u w:val="single"/>
        </w:rPr>
        <w:t xml:space="preserve"> AND FUNDS</w:t>
      </w:r>
    </w:p>
    <w:p w14:paraId="489B2181" w14:textId="77777777" w:rsidR="00147952" w:rsidRPr="005457A8" w:rsidRDefault="00147952"/>
    <w:p w14:paraId="6294A40E" w14:textId="53488F2D" w:rsidR="007575FD" w:rsidRPr="005457A8" w:rsidRDefault="007575FD" w:rsidP="00147952">
      <w:r w:rsidRPr="005457A8">
        <w:t xml:space="preserve">The MOA, which is incorporated herein by reference, governs </w:t>
      </w:r>
      <w:r w:rsidR="00F41D07">
        <w:t xml:space="preserve">the </w:t>
      </w:r>
      <w:r w:rsidR="00A01DDB">
        <w:t>Secondary Opioid Manufacturer</w:t>
      </w:r>
      <w:r w:rsidRPr="005457A8">
        <w:t xml:space="preserve"> Settlement</w:t>
      </w:r>
      <w:r w:rsidR="00A01DDB">
        <w:t>s</w:t>
      </w:r>
      <w:r w:rsidRPr="005457A8">
        <w:t xml:space="preserve"> and </w:t>
      </w:r>
      <w:r w:rsidR="00A01DDB">
        <w:t xml:space="preserve">Secondary Opioid Manufacturer </w:t>
      </w:r>
      <w:r w:rsidRPr="005457A8">
        <w:t xml:space="preserve">Funds in every respect, except as set forth hereinbelow.  In the event of any conflict between the MOA and this </w:t>
      </w:r>
      <w:r w:rsidR="00502CAB">
        <w:t>SAAF-</w:t>
      </w:r>
      <w:r w:rsidR="00A01DDB">
        <w:t>3</w:t>
      </w:r>
      <w:r w:rsidR="0060670A">
        <w:t>,</w:t>
      </w:r>
      <w:r w:rsidRPr="005457A8">
        <w:t xml:space="preserve"> with respect to </w:t>
      </w:r>
      <w:r w:rsidR="00F41D07">
        <w:t xml:space="preserve">the </w:t>
      </w:r>
      <w:r w:rsidR="00A01DDB">
        <w:t>Secondary Opioid Manufacturer</w:t>
      </w:r>
      <w:r w:rsidRPr="005457A8">
        <w:t xml:space="preserve"> Settlement</w:t>
      </w:r>
      <w:r w:rsidR="00A01DDB">
        <w:t>s</w:t>
      </w:r>
      <w:r w:rsidRPr="005457A8">
        <w:t xml:space="preserve"> and </w:t>
      </w:r>
      <w:r w:rsidR="00A01DDB">
        <w:t>Secondary Opioid Manufacturer</w:t>
      </w:r>
      <w:r w:rsidRPr="005457A8">
        <w:t xml:space="preserve"> Funds, the provisions of this </w:t>
      </w:r>
      <w:r w:rsidR="00502CAB">
        <w:t>SAAF-</w:t>
      </w:r>
      <w:r w:rsidR="00A01DDB">
        <w:t>3</w:t>
      </w:r>
      <w:r w:rsidRPr="005457A8">
        <w:t xml:space="preserve"> shall take precedence.</w:t>
      </w:r>
    </w:p>
    <w:p w14:paraId="5D981EAB" w14:textId="77777777" w:rsidR="002759B3" w:rsidRPr="005457A8" w:rsidRDefault="002759B3" w:rsidP="00147952"/>
    <w:p w14:paraId="7B669D2D" w14:textId="77777777" w:rsidR="007575FD" w:rsidRPr="005457A8" w:rsidRDefault="007575FD" w:rsidP="006548CF">
      <w:pPr>
        <w:pStyle w:val="ListParagraph"/>
        <w:numPr>
          <w:ilvl w:val="0"/>
          <w:numId w:val="32"/>
        </w:numPr>
        <w:rPr>
          <w:b/>
        </w:rPr>
      </w:pPr>
      <w:r w:rsidRPr="005457A8">
        <w:rPr>
          <w:b/>
        </w:rPr>
        <w:t>Definitions.</w:t>
      </w:r>
    </w:p>
    <w:p w14:paraId="2AA8D45D" w14:textId="77777777" w:rsidR="007575FD" w:rsidRPr="005457A8" w:rsidRDefault="007575FD" w:rsidP="006548CF">
      <w:pPr>
        <w:pStyle w:val="ListParagraph"/>
        <w:ind w:left="1440"/>
      </w:pPr>
    </w:p>
    <w:p w14:paraId="29E7C7EE" w14:textId="1347D575" w:rsidR="007575FD" w:rsidRPr="005457A8" w:rsidRDefault="007575FD" w:rsidP="006548CF">
      <w:pPr>
        <w:pStyle w:val="ListParagraph"/>
        <w:numPr>
          <w:ilvl w:val="1"/>
          <w:numId w:val="32"/>
        </w:numPr>
      </w:pPr>
      <w:r w:rsidRPr="005457A8">
        <w:t>The definitions used in the MOA</w:t>
      </w:r>
      <w:r w:rsidR="00A01DDB">
        <w:t>,</w:t>
      </w:r>
      <w:r w:rsidRPr="005457A8">
        <w:t xml:space="preserve"> </w:t>
      </w:r>
      <w:r w:rsidR="00F41D07">
        <w:t>the SAAF</w:t>
      </w:r>
      <w:r w:rsidR="00A01DDB">
        <w:t>, and the SAAF-2</w:t>
      </w:r>
      <w:r w:rsidR="00F41D07">
        <w:t xml:space="preserve"> </w:t>
      </w:r>
      <w:r w:rsidRPr="005457A8">
        <w:t xml:space="preserve">are incorporated by reference into this </w:t>
      </w:r>
      <w:r w:rsidR="00502CAB">
        <w:t>SAAF-</w:t>
      </w:r>
      <w:r w:rsidR="00A01DDB">
        <w:t>3</w:t>
      </w:r>
      <w:r w:rsidR="0087322A" w:rsidRPr="0087322A">
        <w:t>, except as such definitions are modified herein</w:t>
      </w:r>
      <w:r w:rsidRPr="005457A8">
        <w:t>.</w:t>
      </w:r>
    </w:p>
    <w:p w14:paraId="68AD251B" w14:textId="77777777" w:rsidR="00677CD2" w:rsidRDefault="00677CD2" w:rsidP="00677CD2">
      <w:pPr>
        <w:pStyle w:val="ListParagraph"/>
      </w:pPr>
    </w:p>
    <w:p w14:paraId="7F5DDD69" w14:textId="7FE4DCE0" w:rsidR="007575FD" w:rsidRPr="005457A8" w:rsidRDefault="00FF2D04" w:rsidP="00CA4A71">
      <w:pPr>
        <w:pStyle w:val="ListParagraph"/>
        <w:numPr>
          <w:ilvl w:val="1"/>
          <w:numId w:val="32"/>
        </w:numPr>
      </w:pPr>
      <w:r w:rsidRPr="005457A8">
        <w:rPr>
          <w:rFonts w:cstheme="minorHAnsi"/>
        </w:rPr>
        <w:t>“</w:t>
      </w:r>
      <w:r w:rsidR="007575FD" w:rsidRPr="005457A8">
        <w:t>Local Counsel</w:t>
      </w:r>
      <w:r w:rsidRPr="005457A8">
        <w:rPr>
          <w:rFonts w:cstheme="minorHAnsi"/>
        </w:rPr>
        <w:t>”</w:t>
      </w:r>
      <w:r w:rsidR="007575FD" w:rsidRPr="005457A8">
        <w:t xml:space="preserve"> means legal counsel and law firms who have a principal office in North Carolina and represented </w:t>
      </w:r>
      <w:r w:rsidR="00CF351E">
        <w:t>one or more</w:t>
      </w:r>
      <w:r w:rsidR="007575FD" w:rsidRPr="005457A8">
        <w:t xml:space="preserve"> North Carolina count</w:t>
      </w:r>
      <w:r w:rsidR="00334E57">
        <w:t>ies</w:t>
      </w:r>
      <w:r w:rsidR="00CF351E">
        <w:t xml:space="preserve"> </w:t>
      </w:r>
      <w:r w:rsidR="00582D18">
        <w:t>and</w:t>
      </w:r>
      <w:r w:rsidR="007575FD" w:rsidRPr="005457A8">
        <w:t xml:space="preserve"> municipalit</w:t>
      </w:r>
      <w:r w:rsidR="00334E57">
        <w:t>ies</w:t>
      </w:r>
      <w:r w:rsidR="007575FD" w:rsidRPr="005457A8">
        <w:t xml:space="preserve"> in litigation against one or more Additional Settling </w:t>
      </w:r>
      <w:r w:rsidRPr="005457A8">
        <w:rPr>
          <w:rFonts w:cstheme="minorHAnsi"/>
        </w:rPr>
        <w:t>Defendant</w:t>
      </w:r>
      <w:r w:rsidR="00262EFD">
        <w:rPr>
          <w:rFonts w:cstheme="minorHAnsi"/>
        </w:rPr>
        <w:t>,</w:t>
      </w:r>
      <w:r w:rsidR="007575FD" w:rsidRPr="005457A8">
        <w:t xml:space="preserve"> </w:t>
      </w:r>
      <w:r w:rsidR="00677CD2">
        <w:t>Kroger</w:t>
      </w:r>
      <w:r w:rsidR="00262EFD">
        <w:t>, or Secondary Opioid Manufacturer Defendants</w:t>
      </w:r>
      <w:r w:rsidR="00677CD2">
        <w:t xml:space="preserve"> </w:t>
      </w:r>
      <w:r w:rsidR="007575FD" w:rsidRPr="005457A8">
        <w:t>concerning opioids.</w:t>
      </w:r>
    </w:p>
    <w:p w14:paraId="54545BB9" w14:textId="77777777" w:rsidR="007A448C" w:rsidRPr="005457A8" w:rsidRDefault="007A448C" w:rsidP="007A448C">
      <w:pPr>
        <w:pStyle w:val="ListParagraph"/>
      </w:pPr>
    </w:p>
    <w:p w14:paraId="0456EC87" w14:textId="09FA7E7B" w:rsidR="007A448C" w:rsidRPr="005457A8" w:rsidRDefault="007A448C" w:rsidP="007A448C">
      <w:pPr>
        <w:pStyle w:val="ListParagraph"/>
        <w:numPr>
          <w:ilvl w:val="1"/>
          <w:numId w:val="32"/>
        </w:numPr>
      </w:pPr>
      <w:r w:rsidRPr="005457A8">
        <w:rPr>
          <w:rFonts w:cstheme="minorHAnsi"/>
        </w:rPr>
        <w:t>“National C</w:t>
      </w:r>
      <w:r w:rsidRPr="005457A8">
        <w:t>ounsel</w:t>
      </w:r>
      <w:r w:rsidRPr="005457A8">
        <w:rPr>
          <w:rFonts w:cstheme="minorHAnsi"/>
        </w:rPr>
        <w:t>”</w:t>
      </w:r>
      <w:r w:rsidRPr="005457A8">
        <w:t xml:space="preserve"> means legal counsel and law firms who have a principal office outside of North Carolina and represented various North Carolina counties and municipalities in litigation </w:t>
      </w:r>
      <w:r w:rsidR="009617C7">
        <w:t xml:space="preserve">concerning opioids </w:t>
      </w:r>
      <w:r w:rsidRPr="005457A8">
        <w:t>against one or more Settling Defendant</w:t>
      </w:r>
      <w:r w:rsidR="007873B3">
        <w:t>,</w:t>
      </w:r>
      <w:r w:rsidRPr="005457A8">
        <w:t xml:space="preserve"> Additional Settling </w:t>
      </w:r>
      <w:r w:rsidRPr="005457A8">
        <w:rPr>
          <w:rFonts w:cstheme="minorHAnsi"/>
        </w:rPr>
        <w:t>Defendant</w:t>
      </w:r>
      <w:r w:rsidR="007873B3">
        <w:rPr>
          <w:rFonts w:cstheme="minorHAnsi"/>
        </w:rPr>
        <w:t>,</w:t>
      </w:r>
      <w:r w:rsidRPr="005457A8">
        <w:t xml:space="preserve"> </w:t>
      </w:r>
      <w:r w:rsidR="00677CD2">
        <w:t>Kroger</w:t>
      </w:r>
      <w:r w:rsidR="00262EFD">
        <w:t>, or Secondary Opioid Manufacturer Defendants</w:t>
      </w:r>
      <w:r w:rsidRPr="005457A8">
        <w:t>.</w:t>
      </w:r>
    </w:p>
    <w:p w14:paraId="4F0407BE" w14:textId="77777777" w:rsidR="007575FD" w:rsidRPr="005457A8" w:rsidRDefault="007575FD" w:rsidP="00AB475E">
      <w:pPr>
        <w:pStyle w:val="ListParagraph"/>
      </w:pPr>
    </w:p>
    <w:p w14:paraId="68A9F4F0" w14:textId="69D2E6F5" w:rsidR="007575FD" w:rsidRDefault="00FF2D04" w:rsidP="00AB475E">
      <w:pPr>
        <w:pStyle w:val="ListParagraph"/>
        <w:numPr>
          <w:ilvl w:val="1"/>
          <w:numId w:val="32"/>
        </w:numPr>
      </w:pPr>
      <w:r w:rsidRPr="005457A8">
        <w:rPr>
          <w:rFonts w:cstheme="minorHAnsi"/>
        </w:rPr>
        <w:t>“</w:t>
      </w:r>
      <w:r w:rsidR="007575FD" w:rsidRPr="005457A8">
        <w:t>Required Local Governments</w:t>
      </w:r>
      <w:r w:rsidRPr="005457A8">
        <w:rPr>
          <w:rFonts w:cstheme="minorHAnsi"/>
        </w:rPr>
        <w:t>”</w:t>
      </w:r>
      <w:r w:rsidR="007575FD" w:rsidRPr="005457A8">
        <w:t xml:space="preserve"> means all North Carolina </w:t>
      </w:r>
      <w:r w:rsidR="007A448C" w:rsidRPr="005457A8">
        <w:t xml:space="preserve">counties and </w:t>
      </w:r>
      <w:r w:rsidR="007575FD" w:rsidRPr="005457A8">
        <w:t xml:space="preserve">municipalities that have filed litigation against </w:t>
      </w:r>
      <w:r w:rsidR="007873B3">
        <w:t xml:space="preserve">any of the Settling Defendants, Additional Settling Defendants, </w:t>
      </w:r>
      <w:r w:rsidR="00677CD2">
        <w:t>Kroger</w:t>
      </w:r>
      <w:r w:rsidR="00262EFD">
        <w:t>, or Secondary Opioid Manufacturer Defendants</w:t>
      </w:r>
      <w:r w:rsidR="007575FD" w:rsidRPr="005457A8">
        <w:t>.</w:t>
      </w:r>
    </w:p>
    <w:p w14:paraId="48E43710" w14:textId="7B81125A" w:rsidR="00262EFD" w:rsidRPr="00262EFD" w:rsidRDefault="00262EFD" w:rsidP="00EE5C65">
      <w:pPr>
        <w:pStyle w:val="ListParagraph"/>
        <w:numPr>
          <w:ilvl w:val="1"/>
          <w:numId w:val="32"/>
        </w:numPr>
      </w:pPr>
      <w:r w:rsidRPr="00262EFD">
        <w:rPr>
          <w:rFonts w:cstheme="minorHAnsi"/>
        </w:rPr>
        <w:lastRenderedPageBreak/>
        <w:t>“</w:t>
      </w:r>
      <w:r>
        <w:rPr>
          <w:rFonts w:cstheme="minorHAnsi"/>
        </w:rPr>
        <w:t xml:space="preserve">Secondary Opioid Manufacturer </w:t>
      </w:r>
      <w:r w:rsidRPr="005457A8">
        <w:t>Defendants</w:t>
      </w:r>
      <w:r w:rsidRPr="00262EFD">
        <w:rPr>
          <w:rFonts w:cstheme="minorHAnsi"/>
        </w:rPr>
        <w:t>”</w:t>
      </w:r>
      <w:r w:rsidRPr="005457A8">
        <w:t xml:space="preserve"> means the defendants listed in section II.</w:t>
      </w:r>
      <w:r>
        <w:t>D</w:t>
      </w:r>
      <w:r w:rsidRPr="005457A8">
        <w:t xml:space="preserve"> of this SAAF</w:t>
      </w:r>
      <w:r>
        <w:t>-3</w:t>
      </w:r>
      <w:r w:rsidRPr="005457A8">
        <w:t>.</w:t>
      </w:r>
    </w:p>
    <w:p w14:paraId="762134BB" w14:textId="77777777" w:rsidR="00262EFD" w:rsidRPr="00262EFD" w:rsidRDefault="00262EFD" w:rsidP="00262EFD">
      <w:pPr>
        <w:pStyle w:val="ListParagraph"/>
        <w:rPr>
          <w:rFonts w:cstheme="minorHAnsi"/>
        </w:rPr>
      </w:pPr>
    </w:p>
    <w:p w14:paraId="5729496A" w14:textId="5399A88E" w:rsidR="00262EFD" w:rsidRPr="005457A8" w:rsidRDefault="00262EFD" w:rsidP="00262EFD">
      <w:pPr>
        <w:pStyle w:val="ListParagraph"/>
        <w:numPr>
          <w:ilvl w:val="1"/>
          <w:numId w:val="32"/>
        </w:numPr>
      </w:pPr>
      <w:r w:rsidRPr="005457A8">
        <w:rPr>
          <w:rFonts w:cstheme="minorHAnsi"/>
        </w:rPr>
        <w:t>“</w:t>
      </w:r>
      <w:r>
        <w:rPr>
          <w:rFonts w:cstheme="minorHAnsi"/>
        </w:rPr>
        <w:t xml:space="preserve">Secondary Opioid Manufacturer </w:t>
      </w:r>
      <w:r w:rsidRPr="005457A8">
        <w:t>Funds</w:t>
      </w:r>
      <w:r w:rsidRPr="005457A8">
        <w:rPr>
          <w:rFonts w:cstheme="minorHAnsi"/>
        </w:rPr>
        <w:t>”</w:t>
      </w:r>
      <w:r w:rsidRPr="005457A8">
        <w:t xml:space="preserve"> mean</w:t>
      </w:r>
      <w:r>
        <w:t>s</w:t>
      </w:r>
      <w:r w:rsidRPr="005457A8">
        <w:t xml:space="preserve"> all funds allocated by the </w:t>
      </w:r>
      <w:r>
        <w:t xml:space="preserve">Secondary Opioid Manufacturer </w:t>
      </w:r>
      <w:r w:rsidRPr="005457A8">
        <w:t xml:space="preserve">Settlements to the State or Local Governments for purposes of opioid remediation activities, as well as any repayment of those funds and any interest or investment earnings that may accrue as those funds are temporarily held before being expended on opioid remediation strategies.  Not included are funds made available in </w:t>
      </w:r>
      <w:r>
        <w:t xml:space="preserve">Secondary Opioid Manufacturer </w:t>
      </w:r>
      <w:r w:rsidRPr="005457A8">
        <w:t xml:space="preserve">Settlements for the payment of the </w:t>
      </w:r>
      <w:r w:rsidRPr="005457A8">
        <w:rPr>
          <w:rFonts w:cstheme="minorHAnsi"/>
        </w:rPr>
        <w:t>Parties’</w:t>
      </w:r>
      <w:r w:rsidRPr="005457A8">
        <w:t xml:space="preserve"> litigation expenses or the reimbursement of the United States Government.</w:t>
      </w:r>
    </w:p>
    <w:p w14:paraId="65F23EDF" w14:textId="77777777" w:rsidR="00262EFD" w:rsidRPr="005457A8" w:rsidRDefault="00262EFD" w:rsidP="00262EFD">
      <w:pPr>
        <w:pStyle w:val="ListParagraph"/>
      </w:pPr>
    </w:p>
    <w:p w14:paraId="1962E946" w14:textId="0AD6D918" w:rsidR="00262EFD" w:rsidRPr="005457A8" w:rsidRDefault="00262EFD" w:rsidP="00262EFD">
      <w:pPr>
        <w:pStyle w:val="ListParagraph"/>
        <w:numPr>
          <w:ilvl w:val="1"/>
          <w:numId w:val="32"/>
        </w:numPr>
      </w:pPr>
      <w:r w:rsidRPr="005457A8">
        <w:rPr>
          <w:rFonts w:cstheme="minorHAnsi"/>
        </w:rPr>
        <w:t>“</w:t>
      </w:r>
      <w:r>
        <w:rPr>
          <w:rFonts w:cstheme="minorHAnsi"/>
        </w:rPr>
        <w:t xml:space="preserve">Secondary Opioid Manufacturer </w:t>
      </w:r>
      <w:r w:rsidRPr="005457A8">
        <w:t>Settlements</w:t>
      </w:r>
      <w:r w:rsidRPr="005457A8">
        <w:rPr>
          <w:rFonts w:cstheme="minorHAnsi"/>
        </w:rPr>
        <w:t>”</w:t>
      </w:r>
      <w:r w:rsidRPr="005457A8">
        <w:t xml:space="preserve"> means a national opioid settlement agreement with the Parties and one or more of the </w:t>
      </w:r>
      <w:r>
        <w:t xml:space="preserve">Secondary Opioid Manufacturer </w:t>
      </w:r>
      <w:r w:rsidRPr="005457A8">
        <w:t xml:space="preserve">Defendants concerning alleged misconduct in manufacture, marketing, promotion, </w:t>
      </w:r>
      <w:r>
        <w:t xml:space="preserve">or </w:t>
      </w:r>
      <w:r w:rsidRPr="005457A8">
        <w:t>distribution</w:t>
      </w:r>
      <w:r>
        <w:t xml:space="preserve"> </w:t>
      </w:r>
      <w:r w:rsidRPr="005457A8">
        <w:t xml:space="preserve">of an opioid </w:t>
      </w:r>
      <w:r>
        <w:t>product</w:t>
      </w:r>
      <w:r w:rsidRPr="005457A8">
        <w:t>.</w:t>
      </w:r>
    </w:p>
    <w:p w14:paraId="719A4EB7" w14:textId="5AF340A2" w:rsidR="005906D3" w:rsidRDefault="005906D3"/>
    <w:p w14:paraId="47CAB75E" w14:textId="77777777" w:rsidR="007575FD" w:rsidRPr="005457A8" w:rsidRDefault="007575FD" w:rsidP="00C92CE0">
      <w:pPr>
        <w:pStyle w:val="ListParagraph"/>
        <w:numPr>
          <w:ilvl w:val="0"/>
          <w:numId w:val="32"/>
        </w:numPr>
        <w:rPr>
          <w:b/>
        </w:rPr>
      </w:pPr>
      <w:r w:rsidRPr="005457A8">
        <w:rPr>
          <w:b/>
        </w:rPr>
        <w:t>Allocation of Additional Funds</w:t>
      </w:r>
    </w:p>
    <w:p w14:paraId="46E978C6" w14:textId="77777777" w:rsidR="007575FD" w:rsidRPr="005457A8" w:rsidRDefault="007575FD" w:rsidP="00C92CE0">
      <w:pPr>
        <w:pStyle w:val="ListParagraph"/>
        <w:ind w:left="1440"/>
      </w:pPr>
    </w:p>
    <w:p w14:paraId="05CB25CA" w14:textId="6694D075" w:rsidR="007575FD" w:rsidRPr="005457A8" w:rsidRDefault="000D48A0" w:rsidP="00C92CE0">
      <w:pPr>
        <w:pStyle w:val="ListParagraph"/>
        <w:ind w:left="1440" w:hanging="360"/>
      </w:pPr>
      <w:r w:rsidRPr="005457A8">
        <w:rPr>
          <w:rFonts w:cstheme="minorHAnsi"/>
        </w:rPr>
        <w:t xml:space="preserve">1. </w:t>
      </w:r>
      <w:r w:rsidRPr="005457A8">
        <w:rPr>
          <w:rFonts w:cstheme="minorHAnsi"/>
        </w:rPr>
        <w:tab/>
      </w:r>
      <w:r w:rsidR="007575FD" w:rsidRPr="005457A8">
        <w:t xml:space="preserve">Method of distribution.  Pursuant to </w:t>
      </w:r>
      <w:r w:rsidR="00262EFD">
        <w:t>any Secondary Opioid Manufacturer</w:t>
      </w:r>
      <w:r w:rsidR="00677CD2">
        <w:t xml:space="preserve"> Settlement</w:t>
      </w:r>
      <w:r w:rsidR="00262EFD">
        <w:t>s</w:t>
      </w:r>
      <w:r w:rsidR="00677CD2">
        <w:t xml:space="preserve">, </w:t>
      </w:r>
      <w:r w:rsidR="00262EFD">
        <w:t>Secondary Opioid Manufacturer</w:t>
      </w:r>
      <w:r w:rsidR="00677CD2">
        <w:t xml:space="preserve"> Funds </w:t>
      </w:r>
      <w:r w:rsidR="007575FD" w:rsidRPr="005457A8">
        <w:t xml:space="preserve">shall be distributed directly to the State, Local Governments, and Local Counsel for such uses as set forth in the MOA and this </w:t>
      </w:r>
      <w:r w:rsidR="00502CAB">
        <w:t>SAAF-</w:t>
      </w:r>
      <w:r w:rsidR="002659BC">
        <w:t>3</w:t>
      </w:r>
      <w:r w:rsidR="007575FD" w:rsidRPr="005457A8">
        <w:t xml:space="preserve">, provided </w:t>
      </w:r>
      <w:r w:rsidR="002659BC">
        <w:t>Secondary Opioid Manufacturer</w:t>
      </w:r>
      <w:r w:rsidR="007575FD" w:rsidRPr="005457A8">
        <w:t xml:space="preserve"> Funds shall not be considered funds of the State, any Local Governments, or any Local Counsel unless and until such time as each distribution is made.</w:t>
      </w:r>
    </w:p>
    <w:p w14:paraId="5D757266" w14:textId="77777777" w:rsidR="007575FD" w:rsidRPr="005457A8" w:rsidRDefault="007575FD" w:rsidP="00C92CE0">
      <w:pPr>
        <w:pStyle w:val="ListParagraph"/>
        <w:ind w:left="1440" w:hanging="360"/>
      </w:pPr>
    </w:p>
    <w:p w14:paraId="7DB29FD9" w14:textId="2AA5DE8E" w:rsidR="007575FD" w:rsidRPr="005457A8" w:rsidRDefault="000D48A0" w:rsidP="00C92CE0">
      <w:pPr>
        <w:pStyle w:val="ListParagraph"/>
        <w:ind w:left="1440" w:hanging="360"/>
      </w:pPr>
      <w:r w:rsidRPr="005457A8">
        <w:rPr>
          <w:rFonts w:cstheme="minorBidi"/>
        </w:rPr>
        <w:t xml:space="preserve">2. </w:t>
      </w:r>
      <w:r w:rsidRPr="005457A8">
        <w:tab/>
      </w:r>
      <w:r w:rsidR="007575FD" w:rsidRPr="005457A8">
        <w:t xml:space="preserve">Overall allocation of funds.  </w:t>
      </w:r>
      <w:r w:rsidR="002659BC">
        <w:t>Secondary Opioid Manufacturer</w:t>
      </w:r>
      <w:r w:rsidR="00677CD2" w:rsidRPr="005457A8">
        <w:t xml:space="preserve"> </w:t>
      </w:r>
      <w:r w:rsidR="007575FD" w:rsidRPr="005457A8">
        <w:t xml:space="preserve">Funds shall be allocated as follows with respect to each payment from </w:t>
      </w:r>
      <w:r w:rsidR="002659BC">
        <w:t>the Secondary Opioid Manufacturer Defendants</w:t>
      </w:r>
      <w:r w:rsidR="007575FD" w:rsidRPr="005457A8">
        <w:t xml:space="preserve">: (i) 15% directly to the State </w:t>
      </w:r>
      <w:r w:rsidRPr="005457A8">
        <w:rPr>
          <w:rFonts w:cstheme="minorBidi"/>
        </w:rPr>
        <w:t>(“</w:t>
      </w:r>
      <w:r w:rsidR="007575FD" w:rsidRPr="005457A8">
        <w:t xml:space="preserve">State </w:t>
      </w:r>
      <w:r w:rsidR="002659BC">
        <w:t>Secondary Opioid Manufacturer</w:t>
      </w:r>
      <w:r w:rsidR="007575FD" w:rsidRPr="005457A8">
        <w:t xml:space="preserve"> Abatement Fund</w:t>
      </w:r>
      <w:r w:rsidRPr="005457A8">
        <w:rPr>
          <w:rFonts w:cstheme="minorBidi"/>
        </w:rPr>
        <w:t>”),</w:t>
      </w:r>
      <w:r w:rsidR="007575FD" w:rsidRPr="005457A8">
        <w:t xml:space="preserve"> (ii) 84</w:t>
      </w:r>
      <w:r w:rsidR="00D62541" w:rsidRPr="005457A8">
        <w:t>.</w:t>
      </w:r>
      <w:r w:rsidR="29C5B55B" w:rsidRPr="005457A8">
        <w:rPr>
          <w:rFonts w:cstheme="minorBidi"/>
        </w:rPr>
        <w:t>6</w:t>
      </w:r>
      <w:r w:rsidR="00572F98">
        <w:rPr>
          <w:rFonts w:cstheme="minorBidi"/>
        </w:rPr>
        <w:t>2</w:t>
      </w:r>
      <w:r w:rsidR="007575FD" w:rsidRPr="005457A8">
        <w:t xml:space="preserve">% to abatement funds established by Local Governments </w:t>
      </w:r>
      <w:r w:rsidRPr="005457A8">
        <w:rPr>
          <w:rFonts w:cstheme="minorBidi"/>
        </w:rPr>
        <w:t>(“</w:t>
      </w:r>
      <w:r w:rsidR="007575FD" w:rsidRPr="005457A8">
        <w:t xml:space="preserve">Local </w:t>
      </w:r>
      <w:r w:rsidR="002659BC">
        <w:t>Secondary Opioid Manufacturer</w:t>
      </w:r>
      <w:r w:rsidR="00677CD2" w:rsidRPr="005457A8">
        <w:t xml:space="preserve"> </w:t>
      </w:r>
      <w:r w:rsidR="007575FD" w:rsidRPr="005457A8">
        <w:t>Abatement Funds</w:t>
      </w:r>
      <w:r w:rsidRPr="005457A8">
        <w:rPr>
          <w:rFonts w:cstheme="minorBidi"/>
        </w:rPr>
        <w:t>”),</w:t>
      </w:r>
      <w:r w:rsidR="007575FD" w:rsidRPr="005457A8">
        <w:t xml:space="preserve"> and (iii</w:t>
      </w:r>
      <w:r w:rsidRPr="005457A8">
        <w:rPr>
          <w:rFonts w:cstheme="minorBidi"/>
        </w:rPr>
        <w:t>)</w:t>
      </w:r>
      <w:r w:rsidR="007575FD" w:rsidRPr="005457A8">
        <w:t xml:space="preserve"> </w:t>
      </w:r>
      <w:r w:rsidR="00E127D1" w:rsidRPr="005457A8">
        <w:t>0</w:t>
      </w:r>
      <w:r w:rsidR="00C92655" w:rsidRPr="005457A8">
        <w:t>.</w:t>
      </w:r>
      <w:r w:rsidR="007A448C" w:rsidRPr="005457A8">
        <w:rPr>
          <w:rFonts w:cstheme="minorBidi"/>
        </w:rPr>
        <w:t>3</w:t>
      </w:r>
      <w:r w:rsidR="00572F98">
        <w:rPr>
          <w:rFonts w:cstheme="minorBidi"/>
        </w:rPr>
        <w:t>8</w:t>
      </w:r>
      <w:r w:rsidR="00C92655" w:rsidRPr="005457A8">
        <w:t>%</w:t>
      </w:r>
      <w:r w:rsidR="007575FD" w:rsidRPr="005457A8">
        <w:t xml:space="preserve"> to a Local Counsel Fee Fund described in section IV of this </w:t>
      </w:r>
      <w:r w:rsidR="00502CAB">
        <w:t>SAAF-</w:t>
      </w:r>
      <w:r w:rsidR="002659BC">
        <w:t>3</w:t>
      </w:r>
      <w:r w:rsidR="007575FD" w:rsidRPr="005457A8">
        <w:t>.</w:t>
      </w:r>
    </w:p>
    <w:p w14:paraId="48AB3E25" w14:textId="77777777" w:rsidR="007575FD" w:rsidRPr="005457A8" w:rsidRDefault="007575FD" w:rsidP="001128CA">
      <w:pPr>
        <w:pStyle w:val="ListParagraph"/>
        <w:ind w:left="1440" w:hanging="360"/>
      </w:pPr>
    </w:p>
    <w:p w14:paraId="6C7BE416" w14:textId="068B7D84" w:rsidR="007575FD" w:rsidRPr="005457A8" w:rsidRDefault="000D48A0" w:rsidP="001128CA">
      <w:pPr>
        <w:ind w:left="1440" w:hanging="360"/>
      </w:pPr>
      <w:r w:rsidRPr="005457A8">
        <w:rPr>
          <w:rFonts w:cstheme="minorBidi"/>
        </w:rPr>
        <w:t xml:space="preserve">3. </w:t>
      </w:r>
      <w:r w:rsidRPr="005457A8">
        <w:tab/>
      </w:r>
      <w:r w:rsidR="007575FD" w:rsidRPr="005457A8">
        <w:t>The allocation of</w:t>
      </w:r>
      <w:r w:rsidR="00677CD2">
        <w:t xml:space="preserve"> Local </w:t>
      </w:r>
      <w:r w:rsidR="002659BC">
        <w:t>Secondary Opioid Manufacturer</w:t>
      </w:r>
      <w:r w:rsidR="00677CD2">
        <w:t xml:space="preserve"> Abatement Funds</w:t>
      </w:r>
      <w:r w:rsidR="007575FD" w:rsidRPr="005457A8">
        <w:t xml:space="preserve"> between Local Governments shall be as described in MOA section B.3.  However, to the extent required by the terms of </w:t>
      </w:r>
      <w:r w:rsidR="002659BC">
        <w:t>a Secondary Opioid Manufacturer</w:t>
      </w:r>
      <w:r w:rsidR="007575FD" w:rsidRPr="005457A8">
        <w:t xml:space="preserve"> Settlement, the proportions set forth in MOA Exhibit G shall be adjusted: (i) to provide no payment from </w:t>
      </w:r>
      <w:r w:rsidR="002659BC">
        <w:t>a Secondary Opioid Manufacturer</w:t>
      </w:r>
      <w:r w:rsidR="007575FD" w:rsidRPr="005457A8">
        <w:t xml:space="preserve"> Settlement to any listed county or municipality that does not participate in the </w:t>
      </w:r>
      <w:r w:rsidR="002659BC">
        <w:t>Secondary Opioid Manufacturer</w:t>
      </w:r>
      <w:r w:rsidR="00677CD2" w:rsidRPr="005457A8">
        <w:t xml:space="preserve"> </w:t>
      </w:r>
      <w:r w:rsidR="007575FD" w:rsidRPr="005457A8">
        <w:t xml:space="preserve">Settlement; and (ii) to provide a reduced payment from </w:t>
      </w:r>
      <w:r w:rsidR="002659BC">
        <w:t>a Secondary Opioid Manufacturer</w:t>
      </w:r>
      <w:r w:rsidR="007575FD" w:rsidRPr="005457A8">
        <w:t xml:space="preserve"> Settlement to any listed county or municipality that signs onto the </w:t>
      </w:r>
      <w:r w:rsidR="002659BC">
        <w:t>Secondary Opioid Manufacturer</w:t>
      </w:r>
      <w:r w:rsidR="00677CD2" w:rsidRPr="005457A8">
        <w:t xml:space="preserve"> </w:t>
      </w:r>
      <w:r w:rsidR="007575FD" w:rsidRPr="005457A8">
        <w:lastRenderedPageBreak/>
        <w:t xml:space="preserve">Settlement after the deadline specified by the </w:t>
      </w:r>
      <w:r w:rsidR="002659BC">
        <w:t>Secondary Opioid Manufacturer</w:t>
      </w:r>
      <w:r w:rsidR="00677CD2" w:rsidRPr="005457A8">
        <w:t xml:space="preserve"> </w:t>
      </w:r>
      <w:r w:rsidR="007575FD" w:rsidRPr="005457A8">
        <w:t>Settlement.</w:t>
      </w:r>
    </w:p>
    <w:p w14:paraId="3BC13059" w14:textId="1331A3C8" w:rsidR="2610378E" w:rsidRPr="005457A8" w:rsidRDefault="2610378E" w:rsidP="2610378E">
      <w:pPr>
        <w:ind w:left="1440" w:hanging="360"/>
      </w:pPr>
    </w:p>
    <w:p w14:paraId="1824BB0E" w14:textId="2839B5CF" w:rsidR="007575FD" w:rsidRPr="005457A8" w:rsidRDefault="000D48A0" w:rsidP="2610378E">
      <w:pPr>
        <w:ind w:left="1440" w:hanging="360"/>
      </w:pPr>
      <w:r w:rsidRPr="005457A8">
        <w:rPr>
          <w:rFonts w:cstheme="minorBidi"/>
        </w:rPr>
        <w:t>4.</w:t>
      </w:r>
      <w:r w:rsidRPr="005457A8">
        <w:tab/>
      </w:r>
      <w:r w:rsidR="007575FD" w:rsidRPr="005457A8">
        <w:t xml:space="preserve">Municipal allocations of </w:t>
      </w:r>
      <w:r w:rsidR="00111206">
        <w:t xml:space="preserve">Local </w:t>
      </w:r>
      <w:r w:rsidR="002659BC">
        <w:t>Secondary Opioid Manufacturer</w:t>
      </w:r>
      <w:r w:rsidR="007575FD" w:rsidRPr="005457A8">
        <w:t xml:space="preserve"> </w:t>
      </w:r>
      <w:r w:rsidR="00111206">
        <w:t xml:space="preserve">Abatement </w:t>
      </w:r>
      <w:r w:rsidR="007575FD" w:rsidRPr="005457A8">
        <w:t xml:space="preserve">Funds shall be as described in MOA section B.4.  Consistent with the manner in which MOA section B.4.b has been interpreted by the parties to the MOA with respect to Opioid Settlement Funds, a municipality that directs Local </w:t>
      </w:r>
      <w:r w:rsidR="002659BC">
        <w:t>Secondary Opioid Manufacturer</w:t>
      </w:r>
      <w:r w:rsidR="00254DC2" w:rsidRPr="005457A8">
        <w:t xml:space="preserve"> </w:t>
      </w:r>
      <w:r w:rsidR="007575FD" w:rsidRPr="005457A8">
        <w:t xml:space="preserve">Abatement Funds to the county or counties in which it is located pursuant to MOA section B.4 shall be relieved of any reporting or other </w:t>
      </w:r>
      <w:r w:rsidR="002415EC" w:rsidRPr="005457A8">
        <w:t>obligations</w:t>
      </w:r>
      <w:r w:rsidR="007575FD" w:rsidRPr="005457A8">
        <w:t xml:space="preserve"> under the MOA with respect to the redirected funds.</w:t>
      </w:r>
    </w:p>
    <w:p w14:paraId="4EC8BF1B" w14:textId="662272AA" w:rsidR="2610378E" w:rsidRPr="005457A8" w:rsidRDefault="2610378E" w:rsidP="2610378E">
      <w:pPr>
        <w:ind w:left="1440" w:hanging="360"/>
      </w:pPr>
    </w:p>
    <w:p w14:paraId="3A656CD6" w14:textId="4900964C" w:rsidR="007575FD" w:rsidRPr="005457A8" w:rsidRDefault="007575FD" w:rsidP="2610378E">
      <w:pPr>
        <w:numPr>
          <w:ilvl w:val="0"/>
          <w:numId w:val="36"/>
        </w:numPr>
        <w:ind w:left="1440"/>
      </w:pPr>
      <w:r w:rsidRPr="005457A8">
        <w:t xml:space="preserve">The use of </w:t>
      </w:r>
      <w:r w:rsidR="002659BC">
        <w:t>Secondary Opioid Manufacturer</w:t>
      </w:r>
      <w:r w:rsidR="00254DC2" w:rsidRPr="005457A8">
        <w:t xml:space="preserve"> </w:t>
      </w:r>
      <w:r w:rsidRPr="005457A8">
        <w:t xml:space="preserve">Funds for opioid remediation activities shall be </w:t>
      </w:r>
      <w:r w:rsidR="00DA2227" w:rsidRPr="005457A8">
        <w:rPr>
          <w:rFonts w:cstheme="minorBidi"/>
        </w:rPr>
        <w:t xml:space="preserve">as </w:t>
      </w:r>
      <w:r w:rsidRPr="005457A8">
        <w:t>described in MOA section B.5.</w:t>
      </w:r>
    </w:p>
    <w:p w14:paraId="600D300C" w14:textId="77777777" w:rsidR="007575FD" w:rsidRPr="005457A8" w:rsidRDefault="007575FD" w:rsidP="004525AB">
      <w:pPr>
        <w:pStyle w:val="ListParagraph"/>
        <w:ind w:left="1440"/>
      </w:pPr>
    </w:p>
    <w:p w14:paraId="14A15F83" w14:textId="5C117946" w:rsidR="005906D3" w:rsidRDefault="007575FD" w:rsidP="00735797">
      <w:pPr>
        <w:pStyle w:val="ListParagraph"/>
        <w:numPr>
          <w:ilvl w:val="0"/>
          <w:numId w:val="36"/>
        </w:numPr>
        <w:ind w:left="1440"/>
      </w:pPr>
      <w:r w:rsidRPr="005457A8">
        <w:t xml:space="preserve">All </w:t>
      </w:r>
      <w:r w:rsidR="009E5B4C" w:rsidRPr="005457A8">
        <w:t>Parties</w:t>
      </w:r>
      <w:r w:rsidRPr="005457A8">
        <w:t xml:space="preserve"> acknowledge and agree </w:t>
      </w:r>
      <w:r w:rsidR="00254DC2">
        <w:t xml:space="preserve">the </w:t>
      </w:r>
      <w:r w:rsidR="002659BC">
        <w:t>Secondary Opioid Manufacturer</w:t>
      </w:r>
      <w:r w:rsidR="00254DC2">
        <w:t xml:space="preserve"> Settlement</w:t>
      </w:r>
      <w:r w:rsidR="002659BC">
        <w:t>s</w:t>
      </w:r>
      <w:r w:rsidRPr="005457A8">
        <w:t xml:space="preserve"> will require a Local Government to release all its claims against </w:t>
      </w:r>
      <w:r w:rsidR="002659BC">
        <w:t>the Secondary Opioid Manufacturer Defendants</w:t>
      </w:r>
      <w:r w:rsidRPr="005457A8">
        <w:t xml:space="preserve"> to receive </w:t>
      </w:r>
      <w:r w:rsidR="002659BC">
        <w:t>Secondary Opioid Manufacturer</w:t>
      </w:r>
      <w:r w:rsidR="00254DC2" w:rsidRPr="005457A8">
        <w:t xml:space="preserve"> </w:t>
      </w:r>
      <w:r w:rsidRPr="005457A8">
        <w:t xml:space="preserve">Funds. All Parties further acknowledge and agree based on the terms of the </w:t>
      </w:r>
      <w:r w:rsidR="002659BC">
        <w:t>Secondary Opioid Manufacturer</w:t>
      </w:r>
      <w:r w:rsidR="00254DC2">
        <w:t xml:space="preserve"> </w:t>
      </w:r>
      <w:proofErr w:type="gramStart"/>
      <w:r w:rsidR="00254DC2">
        <w:t>Settlement</w:t>
      </w:r>
      <w:r w:rsidR="002659BC">
        <w:t>s</w:t>
      </w:r>
      <w:r w:rsidRPr="005457A8">
        <w:t>,</w:t>
      </w:r>
      <w:proofErr w:type="gramEnd"/>
      <w:r w:rsidRPr="005457A8">
        <w:t xml:space="preserve"> a Local Government may receive funds through this </w:t>
      </w:r>
      <w:r w:rsidR="00502CAB">
        <w:t>SAAF-</w:t>
      </w:r>
      <w:r w:rsidR="002659BC">
        <w:t>3</w:t>
      </w:r>
      <w:r w:rsidRPr="005457A8">
        <w:t xml:space="preserve"> only after complying with all requirements set forth in the </w:t>
      </w:r>
      <w:r w:rsidR="002659BC">
        <w:t>Secondary Opioid Manufacturer</w:t>
      </w:r>
      <w:r w:rsidR="00254DC2">
        <w:t xml:space="preserve"> Settlement</w:t>
      </w:r>
      <w:r w:rsidR="002659BC">
        <w:t>s</w:t>
      </w:r>
      <w:r w:rsidRPr="005457A8">
        <w:t xml:space="preserve"> to release its claims.</w:t>
      </w:r>
      <w:r w:rsidR="009E5B4C" w:rsidRPr="005457A8">
        <w:t xml:space="preserve"> </w:t>
      </w:r>
    </w:p>
    <w:p w14:paraId="2C17575B" w14:textId="77777777" w:rsidR="002659BC" w:rsidRDefault="002659BC" w:rsidP="002659BC">
      <w:pPr>
        <w:pStyle w:val="ListParagraph"/>
        <w:ind w:left="1440"/>
      </w:pPr>
    </w:p>
    <w:p w14:paraId="0DD9D093" w14:textId="77777777" w:rsidR="007575FD" w:rsidRPr="005457A8" w:rsidRDefault="007575FD" w:rsidP="004525AB">
      <w:pPr>
        <w:pStyle w:val="ListParagraph"/>
        <w:numPr>
          <w:ilvl w:val="0"/>
          <w:numId w:val="32"/>
        </w:numPr>
        <w:rPr>
          <w:b/>
        </w:rPr>
      </w:pPr>
      <w:r w:rsidRPr="005457A8">
        <w:rPr>
          <w:b/>
        </w:rPr>
        <w:t>Payment of Litigating and Non-Litigating Parties</w:t>
      </w:r>
    </w:p>
    <w:p w14:paraId="782362C7" w14:textId="77777777" w:rsidR="007575FD" w:rsidRPr="005457A8" w:rsidRDefault="007575FD" w:rsidP="004525AB">
      <w:pPr>
        <w:pStyle w:val="ListParagraph"/>
        <w:ind w:left="1440"/>
      </w:pPr>
    </w:p>
    <w:p w14:paraId="00916229" w14:textId="77777777" w:rsidR="007575FD" w:rsidRPr="005457A8" w:rsidRDefault="007575FD" w:rsidP="004525AB">
      <w:pPr>
        <w:pStyle w:val="ListParagraph"/>
        <w:ind w:left="1440"/>
      </w:pPr>
      <w:r w:rsidRPr="005457A8">
        <w:t>No party engaged in litigating the MDL Matter shall receive a smaller payment than a similarly situated non-litigating Party, other than as based on the Allocation Proportions in MOA Exhibit G.</w:t>
      </w:r>
    </w:p>
    <w:p w14:paraId="646F67BB" w14:textId="77777777" w:rsidR="007575FD" w:rsidRPr="005457A8" w:rsidRDefault="007575FD" w:rsidP="00C7588B">
      <w:pPr>
        <w:pStyle w:val="ListParagraph"/>
        <w:ind w:left="1440"/>
      </w:pPr>
    </w:p>
    <w:p w14:paraId="20EB4A8D" w14:textId="5F66F35D" w:rsidR="007575FD" w:rsidRPr="005457A8" w:rsidRDefault="007575FD" w:rsidP="00C7588B">
      <w:pPr>
        <w:pStyle w:val="ListParagraph"/>
        <w:numPr>
          <w:ilvl w:val="0"/>
          <w:numId w:val="32"/>
        </w:numPr>
        <w:rPr>
          <w:b/>
        </w:rPr>
      </w:pPr>
      <w:r w:rsidRPr="005457A8">
        <w:rPr>
          <w:b/>
        </w:rPr>
        <w:t>Special Revenue Fund</w:t>
      </w:r>
    </w:p>
    <w:p w14:paraId="7D97CB73" w14:textId="77777777" w:rsidR="007575FD" w:rsidRPr="005457A8" w:rsidRDefault="007575FD" w:rsidP="00C7588B">
      <w:pPr>
        <w:pStyle w:val="ListParagraph"/>
        <w:ind w:left="1440"/>
      </w:pPr>
    </w:p>
    <w:p w14:paraId="1492BA35" w14:textId="72950E61" w:rsidR="007575FD" w:rsidRPr="005457A8" w:rsidRDefault="007575FD" w:rsidP="002759B3">
      <w:pPr>
        <w:pStyle w:val="ListParagraph"/>
        <w:ind w:left="1440"/>
      </w:pPr>
      <w:r w:rsidRPr="005457A8">
        <w:t xml:space="preserve">Every Local Government receiving </w:t>
      </w:r>
      <w:r w:rsidR="002659BC">
        <w:t>Secondary Opioid Manufacturer</w:t>
      </w:r>
      <w:r w:rsidR="00254DC2" w:rsidRPr="005457A8">
        <w:t xml:space="preserve"> </w:t>
      </w:r>
      <w:r w:rsidRPr="005457A8">
        <w:t xml:space="preserve">Funds shall </w:t>
      </w:r>
      <w:r w:rsidR="009763C0">
        <w:t xml:space="preserve">either (1) deposit the </w:t>
      </w:r>
      <w:r w:rsidR="002659BC">
        <w:t>Secondary Opioid Manufacturer</w:t>
      </w:r>
      <w:r w:rsidR="00254DC2">
        <w:t xml:space="preserve"> </w:t>
      </w:r>
      <w:r w:rsidR="009763C0">
        <w:t xml:space="preserve">Funds </w:t>
      </w:r>
      <w:r w:rsidRPr="005457A8">
        <w:t>in the special revenue fund that the Local Government created for Opioid Settlement Funds pursuant to MOA section D.1</w:t>
      </w:r>
      <w:r w:rsidR="00F6667A">
        <w:t xml:space="preserve"> </w:t>
      </w:r>
      <w:r w:rsidR="007873B3">
        <w:t xml:space="preserve">and/or Additional Funds pursuant to SAAF section </w:t>
      </w:r>
      <w:r w:rsidR="002659BC">
        <w:t>III.</w:t>
      </w:r>
      <w:r w:rsidR="007873B3">
        <w:t xml:space="preserve">D </w:t>
      </w:r>
      <w:r w:rsidR="002659BC">
        <w:t xml:space="preserve">and/or Kroger Funds pursuant to SAAF-2 section III.D </w:t>
      </w:r>
      <w:r w:rsidR="00F6667A">
        <w:t xml:space="preserve">or (2) create a separate special revenue fund as described in MOA section D.1 that is designated for the receipt and expenditure of the </w:t>
      </w:r>
      <w:r w:rsidR="002659BC">
        <w:t>Secondary Opioid Manufacturer</w:t>
      </w:r>
      <w:r w:rsidR="00254DC2">
        <w:t xml:space="preserve"> </w:t>
      </w:r>
      <w:r w:rsidR="00F6667A">
        <w:t>Funds</w:t>
      </w:r>
      <w:r w:rsidR="009763C0">
        <w:t xml:space="preserve">.  In either case, every Local Government receiving </w:t>
      </w:r>
      <w:r w:rsidR="002659BC">
        <w:t>Secondary Opioid Manufacturer</w:t>
      </w:r>
      <w:r w:rsidR="00254DC2">
        <w:t xml:space="preserve"> </w:t>
      </w:r>
      <w:r w:rsidR="009763C0">
        <w:t xml:space="preserve">Funds shall </w:t>
      </w:r>
      <w:r w:rsidRPr="005457A8">
        <w:t xml:space="preserve">abide by MOA section D and other relevant provisions of the MOA with respect to the </w:t>
      </w:r>
      <w:r w:rsidR="00D42DC0">
        <w:t>Secondary Opioid Manufacturer</w:t>
      </w:r>
      <w:r w:rsidR="00254DC2" w:rsidRPr="005457A8">
        <w:t xml:space="preserve"> </w:t>
      </w:r>
      <w:r w:rsidRPr="005457A8">
        <w:t>Funds in the special revenue fund.</w:t>
      </w:r>
    </w:p>
    <w:p w14:paraId="65B552CC" w14:textId="77777777" w:rsidR="002759B3" w:rsidRPr="005457A8" w:rsidRDefault="002759B3" w:rsidP="002759B3">
      <w:pPr>
        <w:pStyle w:val="ListParagraph"/>
        <w:ind w:left="1440"/>
      </w:pPr>
    </w:p>
    <w:p w14:paraId="5BFE4D22" w14:textId="77777777" w:rsidR="007575FD" w:rsidRPr="005457A8" w:rsidRDefault="007575FD" w:rsidP="00C7588B">
      <w:pPr>
        <w:pStyle w:val="ListParagraph"/>
        <w:numPr>
          <w:ilvl w:val="0"/>
          <w:numId w:val="32"/>
        </w:numPr>
        <w:rPr>
          <w:b/>
        </w:rPr>
      </w:pPr>
      <w:r w:rsidRPr="005457A8">
        <w:rPr>
          <w:b/>
        </w:rPr>
        <w:lastRenderedPageBreak/>
        <w:t>Opioid Remediation Activities</w:t>
      </w:r>
    </w:p>
    <w:p w14:paraId="45E1EEF0" w14:textId="77777777" w:rsidR="00147952" w:rsidRPr="005457A8" w:rsidRDefault="00147952" w:rsidP="00C7588B">
      <w:pPr>
        <w:pStyle w:val="ListParagraph"/>
        <w:ind w:left="1440"/>
      </w:pPr>
    </w:p>
    <w:p w14:paraId="07984203" w14:textId="5B558883" w:rsidR="00147952" w:rsidRPr="005457A8" w:rsidRDefault="007575FD" w:rsidP="00C7588B">
      <w:pPr>
        <w:pStyle w:val="ListParagraph"/>
        <w:numPr>
          <w:ilvl w:val="1"/>
          <w:numId w:val="32"/>
        </w:numPr>
      </w:pPr>
      <w:r w:rsidRPr="005457A8">
        <w:t xml:space="preserve">Local Governments shall expend </w:t>
      </w:r>
      <w:r w:rsidR="00D42DC0">
        <w:t>Secondary Opioid Manufacturer</w:t>
      </w:r>
      <w:r w:rsidR="00254DC2" w:rsidRPr="005457A8">
        <w:t xml:space="preserve"> </w:t>
      </w:r>
      <w:r w:rsidRPr="005457A8">
        <w:t>Funds according to the requirements for Opioid Settlement Funds stated in MOA section E.</w:t>
      </w:r>
    </w:p>
    <w:p w14:paraId="772911E0" w14:textId="77777777" w:rsidR="00147952" w:rsidRPr="005457A8" w:rsidRDefault="00147952" w:rsidP="00567D2E">
      <w:pPr>
        <w:pStyle w:val="ListParagraph"/>
        <w:ind w:left="1440"/>
      </w:pPr>
    </w:p>
    <w:p w14:paraId="7D9FC5B1" w14:textId="7B62EB5E" w:rsidR="007575FD" w:rsidRPr="005457A8" w:rsidRDefault="007575FD" w:rsidP="00C7588B">
      <w:pPr>
        <w:pStyle w:val="ListParagraph"/>
        <w:numPr>
          <w:ilvl w:val="1"/>
          <w:numId w:val="32"/>
        </w:numPr>
      </w:pPr>
      <w:bookmarkStart w:id="1" w:name="_Hlk127072522"/>
      <w:r w:rsidRPr="005457A8">
        <w:t xml:space="preserve">The coordination group established by MOA section E.7 </w:t>
      </w:r>
      <w:r w:rsidR="009763C0">
        <w:t xml:space="preserve">and described in MOA Exhibit D </w:t>
      </w:r>
      <w:r w:rsidRPr="005457A8">
        <w:t xml:space="preserve">shall have the same responsibilities with respect to </w:t>
      </w:r>
      <w:r w:rsidR="00E36CD6">
        <w:t xml:space="preserve">remediation activities funded by </w:t>
      </w:r>
      <w:r w:rsidR="00D42DC0">
        <w:t>Secondary Opioid Manufacturer</w:t>
      </w:r>
      <w:r w:rsidR="00254DC2" w:rsidRPr="005457A8">
        <w:t xml:space="preserve"> </w:t>
      </w:r>
      <w:r w:rsidRPr="005457A8">
        <w:t xml:space="preserve">Funds </w:t>
      </w:r>
      <w:r w:rsidR="00E36CD6">
        <w:t xml:space="preserve">and related requirements and procedures </w:t>
      </w:r>
      <w:r w:rsidRPr="005457A8">
        <w:t>that it has with respect to the Opioid Settlement Funds covered by the MOA.</w:t>
      </w:r>
    </w:p>
    <w:bookmarkEnd w:id="1"/>
    <w:p w14:paraId="7570194C" w14:textId="77777777" w:rsidR="00147952" w:rsidRPr="005457A8" w:rsidRDefault="00147952" w:rsidP="00C7588B">
      <w:pPr>
        <w:pStyle w:val="ListParagraph"/>
      </w:pPr>
    </w:p>
    <w:p w14:paraId="68877E81" w14:textId="77777777" w:rsidR="007575FD" w:rsidRPr="005457A8" w:rsidRDefault="007575FD" w:rsidP="00C7588B">
      <w:pPr>
        <w:pStyle w:val="ListParagraph"/>
        <w:numPr>
          <w:ilvl w:val="0"/>
          <w:numId w:val="32"/>
        </w:numPr>
        <w:rPr>
          <w:b/>
        </w:rPr>
      </w:pPr>
      <w:r w:rsidRPr="005457A8">
        <w:rPr>
          <w:b/>
        </w:rPr>
        <w:t>Auditing, Compliance, Reporting, and Accountability</w:t>
      </w:r>
    </w:p>
    <w:p w14:paraId="310D0B7B" w14:textId="77777777" w:rsidR="00147952" w:rsidRPr="005457A8" w:rsidRDefault="00147952" w:rsidP="00C7588B">
      <w:pPr>
        <w:pStyle w:val="ListParagraph"/>
        <w:ind w:left="1440"/>
      </w:pPr>
    </w:p>
    <w:p w14:paraId="5C7E47BF" w14:textId="58EA6A9D" w:rsidR="00147952" w:rsidRDefault="007575FD" w:rsidP="009763C0">
      <w:pPr>
        <w:pStyle w:val="ListParagraph"/>
        <w:numPr>
          <w:ilvl w:val="1"/>
          <w:numId w:val="32"/>
        </w:numPr>
      </w:pPr>
      <w:r w:rsidRPr="005457A8">
        <w:t xml:space="preserve">The Auditing, Compliance, Reporting, and Accountability provisions stated in MOA section F shall apply to </w:t>
      </w:r>
      <w:r w:rsidR="00D42DC0">
        <w:t>Secondary Opioid Manufacturer</w:t>
      </w:r>
      <w:r w:rsidR="00254DC2" w:rsidRPr="005457A8">
        <w:t xml:space="preserve"> </w:t>
      </w:r>
      <w:r w:rsidRPr="005457A8">
        <w:t>Funds in the way they apply to Opioid Settlement Funds.</w:t>
      </w:r>
    </w:p>
    <w:p w14:paraId="35EE311B" w14:textId="4C50DCDD" w:rsidR="009763C0" w:rsidRDefault="009763C0" w:rsidP="009763C0">
      <w:pPr>
        <w:pStyle w:val="ListParagraph"/>
        <w:ind w:left="1440"/>
      </w:pPr>
    </w:p>
    <w:p w14:paraId="3746F930" w14:textId="3408FE00" w:rsidR="009763C0" w:rsidRPr="005457A8" w:rsidRDefault="009763C0" w:rsidP="009763C0">
      <w:pPr>
        <w:pStyle w:val="ListParagraph"/>
        <w:numPr>
          <w:ilvl w:val="1"/>
          <w:numId w:val="32"/>
        </w:numPr>
      </w:pPr>
      <w:r w:rsidRPr="009763C0">
        <w:t xml:space="preserve">The coordination group established by MOA section E.7 </w:t>
      </w:r>
      <w:r>
        <w:t xml:space="preserve">and described in MOA Exhibit D </w:t>
      </w:r>
      <w:r w:rsidRPr="009763C0">
        <w:t>shall have the same responsibilities with respect to</w:t>
      </w:r>
      <w:r w:rsidR="00E36CD6">
        <w:t xml:space="preserve"> auditing, compliance, reporting, and accountability provisions relating to </w:t>
      </w:r>
      <w:r w:rsidR="00D42DC0">
        <w:t>Secondary Opioid Manufacturer</w:t>
      </w:r>
      <w:r w:rsidR="00254DC2">
        <w:t xml:space="preserve"> </w:t>
      </w:r>
      <w:r w:rsidR="00E36CD6">
        <w:t>Funds</w:t>
      </w:r>
      <w:r w:rsidRPr="009763C0">
        <w:t xml:space="preserve"> that it has with respect to the Opioid Settlement Funds covered by the MOA.</w:t>
      </w:r>
    </w:p>
    <w:p w14:paraId="739350F6" w14:textId="58050E3B" w:rsidR="005906D3" w:rsidRDefault="005906D3"/>
    <w:p w14:paraId="7595E0C1" w14:textId="77777777" w:rsidR="00870DE8" w:rsidRPr="005457A8" w:rsidRDefault="00870DE8" w:rsidP="00C7588B">
      <w:pPr>
        <w:pStyle w:val="ListParagraph"/>
        <w:numPr>
          <w:ilvl w:val="0"/>
          <w:numId w:val="32"/>
        </w:numPr>
        <w:rPr>
          <w:b/>
        </w:rPr>
      </w:pPr>
      <w:r w:rsidRPr="005457A8">
        <w:rPr>
          <w:b/>
        </w:rPr>
        <w:t>Effectiveness</w:t>
      </w:r>
    </w:p>
    <w:p w14:paraId="11DC41D4" w14:textId="77777777" w:rsidR="00147952" w:rsidRPr="005457A8" w:rsidRDefault="00147952" w:rsidP="002759B3"/>
    <w:p w14:paraId="49D62347" w14:textId="1D97B652" w:rsidR="00147952" w:rsidRPr="005457A8" w:rsidRDefault="00870DE8" w:rsidP="00C7588B">
      <w:pPr>
        <w:pStyle w:val="ListParagraph"/>
        <w:numPr>
          <w:ilvl w:val="1"/>
          <w:numId w:val="32"/>
        </w:numPr>
      </w:pPr>
      <w:r w:rsidRPr="005457A8">
        <w:t xml:space="preserve">When this </w:t>
      </w:r>
      <w:r w:rsidR="00502CAB">
        <w:t>SAAF-</w:t>
      </w:r>
      <w:r w:rsidR="00D42DC0">
        <w:t>3</w:t>
      </w:r>
      <w:r w:rsidRPr="005457A8">
        <w:t xml:space="preserve"> takes effect.  This </w:t>
      </w:r>
      <w:r w:rsidR="00502CAB">
        <w:t>SAAF-</w:t>
      </w:r>
      <w:r w:rsidR="00D42DC0">
        <w:t>3</w:t>
      </w:r>
      <w:r w:rsidRPr="005457A8">
        <w:t xml:space="preserve"> shall become effective at the time </w:t>
      </w:r>
      <w:proofErr w:type="gramStart"/>
      <w:r w:rsidRPr="005457A8">
        <w:t>a sufficient number of</w:t>
      </w:r>
      <w:proofErr w:type="gramEnd"/>
      <w:r w:rsidRPr="005457A8">
        <w:t xml:space="preserve"> Local Governments have joined the </w:t>
      </w:r>
      <w:r w:rsidR="00502CAB">
        <w:t>SAAF-</w:t>
      </w:r>
      <w:r w:rsidR="00D42DC0">
        <w:t>3</w:t>
      </w:r>
      <w:r w:rsidRPr="005457A8">
        <w:t xml:space="preserve"> to qualify the </w:t>
      </w:r>
      <w:r w:rsidR="00502CAB">
        <w:t>SAAF-</w:t>
      </w:r>
      <w:r w:rsidR="00D42DC0">
        <w:t>3</w:t>
      </w:r>
      <w:r w:rsidRPr="005457A8">
        <w:t xml:space="preserve"> as a State-Subdivision Agreement under the </w:t>
      </w:r>
      <w:r w:rsidR="00D42DC0">
        <w:t>Secondary Opioid Manufacturer</w:t>
      </w:r>
      <w:r w:rsidR="00254DC2">
        <w:t xml:space="preserve"> Settlement</w:t>
      </w:r>
      <w:r w:rsidR="00D42DC0">
        <w:t>s</w:t>
      </w:r>
      <w:r w:rsidRPr="005457A8">
        <w:t xml:space="preserve">.  If this </w:t>
      </w:r>
      <w:r w:rsidR="00502CAB">
        <w:t>SAAF-</w:t>
      </w:r>
      <w:r w:rsidR="00D42DC0">
        <w:t>3</w:t>
      </w:r>
      <w:r w:rsidRPr="005457A8">
        <w:t xml:space="preserve"> does not thereby qualify as a State-Subdivision Agreement, this </w:t>
      </w:r>
      <w:r w:rsidR="00502CAB">
        <w:t>SAAF-</w:t>
      </w:r>
      <w:r w:rsidR="00D42DC0">
        <w:t>3</w:t>
      </w:r>
      <w:r w:rsidRPr="005457A8">
        <w:t xml:space="preserve"> will have no effec</w:t>
      </w:r>
      <w:r w:rsidR="00147952" w:rsidRPr="005457A8">
        <w:t xml:space="preserve">t. </w:t>
      </w:r>
      <w:r w:rsidR="00F22FF1" w:rsidRPr="005457A8">
        <w:rPr>
          <w:rFonts w:cstheme="minorHAnsi"/>
        </w:rPr>
        <w:t xml:space="preserve"> </w:t>
      </w:r>
    </w:p>
    <w:p w14:paraId="37143CA6" w14:textId="77777777" w:rsidR="00147952" w:rsidRPr="005457A8" w:rsidRDefault="00147952" w:rsidP="00567D2E">
      <w:pPr>
        <w:pStyle w:val="ListParagraph"/>
        <w:ind w:left="1440"/>
      </w:pPr>
    </w:p>
    <w:p w14:paraId="1E678EB0" w14:textId="603A1784" w:rsidR="00870DE8" w:rsidRPr="005457A8" w:rsidRDefault="00870DE8" w:rsidP="00C7588B">
      <w:pPr>
        <w:pStyle w:val="ListParagraph"/>
        <w:numPr>
          <w:ilvl w:val="1"/>
          <w:numId w:val="32"/>
        </w:numPr>
      </w:pPr>
      <w:r w:rsidRPr="005457A8">
        <w:t xml:space="preserve">Amendments to the </w:t>
      </w:r>
      <w:r w:rsidR="00502CAB">
        <w:t>SAAF-</w:t>
      </w:r>
      <w:r w:rsidR="00D42DC0">
        <w:t>3</w:t>
      </w:r>
      <w:r w:rsidRPr="005457A8">
        <w:t>.</w:t>
      </w:r>
    </w:p>
    <w:p w14:paraId="05D9BC60" w14:textId="77777777" w:rsidR="00147952" w:rsidRPr="005457A8" w:rsidRDefault="00147952" w:rsidP="00C7588B">
      <w:pPr>
        <w:pStyle w:val="ListParagraph"/>
        <w:ind w:left="1440"/>
      </w:pPr>
    </w:p>
    <w:p w14:paraId="0D1C5877" w14:textId="20C139CB" w:rsidR="00147952" w:rsidRPr="005457A8" w:rsidRDefault="00870DE8" w:rsidP="00C7588B">
      <w:pPr>
        <w:pStyle w:val="ListParagraph"/>
        <w:numPr>
          <w:ilvl w:val="2"/>
          <w:numId w:val="32"/>
        </w:numPr>
      </w:pPr>
      <w:r w:rsidRPr="005457A8">
        <w:t xml:space="preserve">Amendments to conform to final national documents.  </w:t>
      </w:r>
      <w:r w:rsidR="002415EC" w:rsidRPr="005457A8">
        <w:t>T</w:t>
      </w:r>
      <w:r w:rsidRPr="005457A8">
        <w:t xml:space="preserve">he </w:t>
      </w:r>
      <w:r w:rsidR="00F22FF1" w:rsidRPr="005457A8">
        <w:rPr>
          <w:rFonts w:cstheme="minorHAnsi"/>
        </w:rPr>
        <w:t>Attorney</w:t>
      </w:r>
      <w:r w:rsidRPr="005457A8">
        <w:t xml:space="preserve"> General, with the consent of a majority vote from a group of Local Government attorneys appointed by the Association of County Commissioners, may initiate a process to amend this </w:t>
      </w:r>
      <w:r w:rsidR="00502CAB">
        <w:t>SAAF-</w:t>
      </w:r>
      <w:r w:rsidR="00D42DC0">
        <w:t>3</w:t>
      </w:r>
      <w:r w:rsidRPr="005457A8">
        <w:t xml:space="preserve"> to make any changes required by the final provisions of the </w:t>
      </w:r>
      <w:r w:rsidR="00D42DC0">
        <w:t>Secondary Manufacturer Opioid</w:t>
      </w:r>
      <w:r w:rsidRPr="005457A8">
        <w:t xml:space="preserve"> </w:t>
      </w:r>
      <w:r w:rsidR="002415EC" w:rsidRPr="005457A8">
        <w:t>Settlement</w:t>
      </w:r>
      <w:r w:rsidR="00D42DC0">
        <w:t>s</w:t>
      </w:r>
      <w:r w:rsidRPr="005457A8">
        <w:t xml:space="preserve">.  The Attorney </w:t>
      </w:r>
      <w:r w:rsidR="00F22FF1" w:rsidRPr="005457A8">
        <w:rPr>
          <w:rFonts w:cstheme="minorHAnsi"/>
        </w:rPr>
        <w:t>General’s</w:t>
      </w:r>
      <w:r w:rsidRPr="005457A8">
        <w:t xml:space="preserve"> Office will provide written notice of the necessary amendments to all the previously joining parties.  </w:t>
      </w:r>
      <w:r w:rsidR="002415EC" w:rsidRPr="005457A8">
        <w:t>A</w:t>
      </w:r>
      <w:r w:rsidRPr="005457A8">
        <w:t xml:space="preserve">ny previously joining party will have a two-week opportunity to withdraw from the </w:t>
      </w:r>
      <w:r w:rsidR="00502CAB">
        <w:t>SAAF-</w:t>
      </w:r>
      <w:r w:rsidR="00D42DC0">
        <w:t>3</w:t>
      </w:r>
      <w:r w:rsidRPr="005457A8">
        <w:t>.  The amendments will be effective to any party that does not withdraw.</w:t>
      </w:r>
    </w:p>
    <w:p w14:paraId="5C919DF8" w14:textId="2FD2DCEA" w:rsidR="00147952" w:rsidRPr="005457A8" w:rsidRDefault="00870DE8" w:rsidP="00C7588B">
      <w:pPr>
        <w:pStyle w:val="ListParagraph"/>
        <w:numPr>
          <w:ilvl w:val="0"/>
          <w:numId w:val="33"/>
        </w:numPr>
      </w:pPr>
      <w:r w:rsidRPr="005457A8">
        <w:lastRenderedPageBreak/>
        <w:t xml:space="preserve">Coordination group. </w:t>
      </w:r>
      <w:r w:rsidR="00F22FF1" w:rsidRPr="005457A8">
        <w:rPr>
          <w:rFonts w:cstheme="minorHAnsi"/>
        </w:rPr>
        <w:t xml:space="preserve"> </w:t>
      </w:r>
      <w:r w:rsidRPr="005457A8">
        <w:t xml:space="preserve">The coordination group may make the changes to the </w:t>
      </w:r>
      <w:r w:rsidR="00502CAB">
        <w:t>SAAF-</w:t>
      </w:r>
      <w:r w:rsidR="00D42DC0">
        <w:t>3</w:t>
      </w:r>
      <w:r w:rsidRPr="005457A8">
        <w:t xml:space="preserve"> described and authorized in MOA Exhibit D.</w:t>
      </w:r>
    </w:p>
    <w:p w14:paraId="59661C97" w14:textId="77777777" w:rsidR="00147952" w:rsidRPr="005457A8" w:rsidRDefault="00147952" w:rsidP="00C7588B">
      <w:pPr>
        <w:pStyle w:val="ListParagraph"/>
        <w:ind w:left="1440"/>
      </w:pPr>
    </w:p>
    <w:p w14:paraId="3D63C378" w14:textId="4771D160" w:rsidR="00147952" w:rsidRPr="005457A8" w:rsidRDefault="00870DE8" w:rsidP="00C7588B">
      <w:pPr>
        <w:pStyle w:val="ListParagraph"/>
        <w:numPr>
          <w:ilvl w:val="0"/>
          <w:numId w:val="34"/>
        </w:numPr>
      </w:pPr>
      <w:r w:rsidRPr="005457A8">
        <w:t xml:space="preserve">No amendments to allocation between Local Governments. </w:t>
      </w:r>
      <w:r w:rsidR="00F22FF1" w:rsidRPr="005457A8">
        <w:rPr>
          <w:rFonts w:cstheme="minorHAnsi"/>
        </w:rPr>
        <w:t xml:space="preserve"> </w:t>
      </w:r>
      <w:r w:rsidRPr="005457A8">
        <w:t xml:space="preserve">Notwithstanding any other provision of this </w:t>
      </w:r>
      <w:r w:rsidR="00502CAB">
        <w:t>SAAF-</w:t>
      </w:r>
      <w:r w:rsidR="00D42DC0">
        <w:t>3</w:t>
      </w:r>
      <w:r w:rsidRPr="005457A8">
        <w:t>, the allocation proportions set forth in MOA Exhibit G may not be amended.</w:t>
      </w:r>
    </w:p>
    <w:p w14:paraId="374E9AAD" w14:textId="77777777" w:rsidR="00147952" w:rsidRPr="005457A8" w:rsidRDefault="00147952" w:rsidP="00C7588B">
      <w:pPr>
        <w:pStyle w:val="ListParagraph"/>
        <w:ind w:left="1440"/>
      </w:pPr>
    </w:p>
    <w:p w14:paraId="5D90AEA5" w14:textId="7D789AEB" w:rsidR="00870DE8" w:rsidRPr="005457A8" w:rsidRDefault="00870DE8" w:rsidP="00C7588B">
      <w:pPr>
        <w:pStyle w:val="ListParagraph"/>
        <w:numPr>
          <w:ilvl w:val="0"/>
          <w:numId w:val="35"/>
        </w:numPr>
      </w:pPr>
      <w:r w:rsidRPr="005457A8">
        <w:t xml:space="preserve">General amendment power. </w:t>
      </w:r>
      <w:r w:rsidR="00F22FF1" w:rsidRPr="005457A8">
        <w:rPr>
          <w:rFonts w:cstheme="minorHAnsi"/>
        </w:rPr>
        <w:t xml:space="preserve"> </w:t>
      </w:r>
      <w:r w:rsidRPr="005457A8">
        <w:t xml:space="preserve">After execution, the coordination group may propose other amendments to the </w:t>
      </w:r>
      <w:r w:rsidR="00502CAB">
        <w:t>SAAF-</w:t>
      </w:r>
      <w:r w:rsidR="00D42DC0">
        <w:t>3</w:t>
      </w:r>
      <w:r w:rsidRPr="005457A8">
        <w:t xml:space="preserve">, subject to the limitation in </w:t>
      </w:r>
      <w:r w:rsidR="00D42DC0">
        <w:t>s</w:t>
      </w:r>
      <w:r w:rsidRPr="005457A8">
        <w:t xml:space="preserve">ection </w:t>
      </w:r>
      <w:r w:rsidR="00D42DC0">
        <w:t>III.</w:t>
      </w:r>
      <w:r w:rsidRPr="005457A8">
        <w:t xml:space="preserve">G.2.c of this </w:t>
      </w:r>
      <w:r w:rsidR="00502CAB">
        <w:t>SAAF-</w:t>
      </w:r>
      <w:r w:rsidR="00D42DC0">
        <w:t>3</w:t>
      </w:r>
      <w:r w:rsidRPr="005457A8">
        <w:t xml:space="preserve">. </w:t>
      </w:r>
      <w:r w:rsidR="00F22FF1" w:rsidRPr="005457A8">
        <w:rPr>
          <w:rFonts w:cstheme="minorHAnsi"/>
        </w:rPr>
        <w:t xml:space="preserve"> </w:t>
      </w:r>
      <w:r w:rsidRPr="005457A8">
        <w:t xml:space="preserve">Such amendments will take effect only if approved in writing by the Attorney General and at least two-thirds of the Local Governments who are Parties to this </w:t>
      </w:r>
      <w:r w:rsidR="00502CAB">
        <w:t>SAAF-</w:t>
      </w:r>
      <w:r w:rsidR="00D42DC0">
        <w:t>3</w:t>
      </w:r>
      <w:r w:rsidRPr="005457A8">
        <w:t xml:space="preserve">. </w:t>
      </w:r>
      <w:r w:rsidR="00F22FF1" w:rsidRPr="005457A8">
        <w:rPr>
          <w:rFonts w:cstheme="minorHAnsi"/>
        </w:rPr>
        <w:t xml:space="preserve"> </w:t>
      </w:r>
      <w:r w:rsidRPr="005457A8">
        <w:t xml:space="preserve">In the vote, each Local Government Party will have </w:t>
      </w:r>
      <w:proofErr w:type="gramStart"/>
      <w:r w:rsidRPr="005457A8">
        <w:t>a number of</w:t>
      </w:r>
      <w:proofErr w:type="gramEnd"/>
      <w:r w:rsidRPr="005457A8">
        <w:t xml:space="preserve"> votes measured by the allocation proportions set forth in MOA Exhibit G.</w:t>
      </w:r>
    </w:p>
    <w:p w14:paraId="1288DAF1" w14:textId="77777777" w:rsidR="00147952" w:rsidRPr="005457A8" w:rsidRDefault="00147952" w:rsidP="00B648F0">
      <w:pPr>
        <w:pStyle w:val="ListParagraph"/>
        <w:ind w:left="1440"/>
      </w:pPr>
    </w:p>
    <w:p w14:paraId="33992AF1" w14:textId="7A2B2878" w:rsidR="005906D3" w:rsidRDefault="00870DE8" w:rsidP="00B06EBC">
      <w:pPr>
        <w:pStyle w:val="ListParagraph"/>
        <w:numPr>
          <w:ilvl w:val="1"/>
          <w:numId w:val="32"/>
        </w:numPr>
      </w:pPr>
      <w:r w:rsidRPr="005457A8">
        <w:t xml:space="preserve">Acknowledgement. The Parties acknowledge this </w:t>
      </w:r>
      <w:r w:rsidR="00502CAB">
        <w:t>SAAF-</w:t>
      </w:r>
      <w:r w:rsidR="00D42DC0">
        <w:t>3</w:t>
      </w:r>
      <w:r w:rsidRPr="005457A8">
        <w:t xml:space="preserve"> is an effective and fair way to address the needs arising from the public health crisis due to the misconduct committed by the Pharmaceutical Supply Chain Participants.</w:t>
      </w:r>
    </w:p>
    <w:p w14:paraId="52B5D2B4" w14:textId="77777777" w:rsidR="00D42DC0" w:rsidRDefault="00D42DC0" w:rsidP="00D42DC0">
      <w:pPr>
        <w:pStyle w:val="ListParagraph"/>
        <w:ind w:left="1440"/>
      </w:pPr>
    </w:p>
    <w:p w14:paraId="16112A8F" w14:textId="2E38C4F2" w:rsidR="00147952" w:rsidRPr="005457A8" w:rsidRDefault="00870DE8" w:rsidP="00B648F0">
      <w:pPr>
        <w:pStyle w:val="ListParagraph"/>
        <w:numPr>
          <w:ilvl w:val="1"/>
          <w:numId w:val="32"/>
        </w:numPr>
      </w:pPr>
      <w:r w:rsidRPr="005457A8">
        <w:t xml:space="preserve">When </w:t>
      </w:r>
      <w:r w:rsidR="00D42DC0">
        <w:t xml:space="preserve">this </w:t>
      </w:r>
      <w:r w:rsidR="00502CAB">
        <w:t>SAAF-</w:t>
      </w:r>
      <w:r w:rsidR="00D42DC0">
        <w:t>3</w:t>
      </w:r>
      <w:r w:rsidRPr="005457A8">
        <w:t xml:space="preserve"> is no longer in effect. </w:t>
      </w:r>
      <w:r w:rsidR="00F22FF1" w:rsidRPr="005457A8">
        <w:rPr>
          <w:rFonts w:cstheme="minorHAnsi"/>
        </w:rPr>
        <w:t xml:space="preserve"> </w:t>
      </w:r>
      <w:r w:rsidRPr="005457A8">
        <w:t xml:space="preserve">This </w:t>
      </w:r>
      <w:r w:rsidR="00502CAB">
        <w:t>SAAF-</w:t>
      </w:r>
      <w:r w:rsidR="00D42DC0">
        <w:t>3</w:t>
      </w:r>
      <w:r w:rsidRPr="005457A8">
        <w:t xml:space="preserve"> is effective until one year after the last date on which any (a) Opioid Settlement Funds are being spent by Local Governments pursuant to the National Settlement Agreement and any Bankruptcy Resolution</w:t>
      </w:r>
      <w:r w:rsidR="00111206">
        <w:t>,</w:t>
      </w:r>
      <w:r w:rsidRPr="005457A8">
        <w:t xml:space="preserve"> or (b) Additional Funds are being spent by Local Governments pursuant to the Additional Settlements</w:t>
      </w:r>
      <w:r w:rsidR="00254DC2">
        <w:t>, or (c) Kroger Funds are being spent by Local Governments pursuant to the Kroger Settlement</w:t>
      </w:r>
      <w:r w:rsidR="00D42DC0">
        <w:t xml:space="preserve">, or (d) Secondary Opioid Manufacturer </w:t>
      </w:r>
      <w:r w:rsidR="00D42DC0" w:rsidRPr="005457A8">
        <w:t xml:space="preserve">Funds are being spent by Local Governments pursuant to the </w:t>
      </w:r>
      <w:r w:rsidR="00D42DC0">
        <w:t>Secondary Opioid Manufacturer</w:t>
      </w:r>
      <w:r w:rsidR="00D42DC0" w:rsidRPr="005457A8">
        <w:t xml:space="preserve"> Settlements</w:t>
      </w:r>
      <w:r w:rsidRPr="005457A8">
        <w:t>.</w:t>
      </w:r>
      <w:r w:rsidR="00F22FF1" w:rsidRPr="005457A8">
        <w:rPr>
          <w:rFonts w:cstheme="minorHAnsi"/>
        </w:rPr>
        <w:t xml:space="preserve">  </w:t>
      </w:r>
    </w:p>
    <w:p w14:paraId="2B9A5C9C" w14:textId="77777777" w:rsidR="00147952" w:rsidRPr="005457A8" w:rsidRDefault="00147952" w:rsidP="00B648F0">
      <w:pPr>
        <w:pStyle w:val="ListParagraph"/>
        <w:ind w:left="1440"/>
      </w:pPr>
    </w:p>
    <w:p w14:paraId="5BDF8A09" w14:textId="350DADAB" w:rsidR="00147952" w:rsidRPr="005457A8" w:rsidRDefault="00870DE8" w:rsidP="00B648F0">
      <w:pPr>
        <w:pStyle w:val="ListParagraph"/>
        <w:numPr>
          <w:ilvl w:val="1"/>
          <w:numId w:val="32"/>
        </w:numPr>
      </w:pPr>
      <w:r w:rsidRPr="005457A8">
        <w:t xml:space="preserve">Application of </w:t>
      </w:r>
      <w:r w:rsidR="00502CAB">
        <w:t>SAAF-</w:t>
      </w:r>
      <w:r w:rsidR="00D42DC0">
        <w:t>3</w:t>
      </w:r>
      <w:r w:rsidRPr="005457A8">
        <w:t xml:space="preserve"> to settlements</w:t>
      </w:r>
      <w:r w:rsidR="00F22FF1" w:rsidRPr="005457A8">
        <w:rPr>
          <w:rFonts w:cstheme="minorHAnsi"/>
        </w:rPr>
        <w:t xml:space="preserve">. </w:t>
      </w:r>
      <w:r w:rsidRPr="005457A8">
        <w:t xml:space="preserve"> This </w:t>
      </w:r>
      <w:r w:rsidR="00502CAB">
        <w:t>SAAF-</w:t>
      </w:r>
      <w:r w:rsidR="00D42DC0">
        <w:t>3</w:t>
      </w:r>
      <w:r w:rsidRPr="005457A8">
        <w:t xml:space="preserve"> applies to the</w:t>
      </w:r>
      <w:r w:rsidR="00254DC2">
        <w:t xml:space="preserve"> </w:t>
      </w:r>
      <w:r w:rsidR="00D42DC0">
        <w:t>Secondary Opioid Manufacturer</w:t>
      </w:r>
      <w:r w:rsidR="00254DC2">
        <w:t xml:space="preserve"> Settlement</w:t>
      </w:r>
      <w:r w:rsidRPr="005457A8">
        <w:t>.</w:t>
      </w:r>
      <w:r w:rsidR="00DC3D32" w:rsidRPr="005457A8">
        <w:rPr>
          <w:rFonts w:cstheme="minorHAnsi"/>
        </w:rPr>
        <w:t xml:space="preserve">  </w:t>
      </w:r>
      <w:r w:rsidR="00F22FF1" w:rsidRPr="005457A8">
        <w:rPr>
          <w:rFonts w:cstheme="minorHAnsi"/>
        </w:rPr>
        <w:t xml:space="preserve"> </w:t>
      </w:r>
    </w:p>
    <w:p w14:paraId="29BF7268" w14:textId="77777777" w:rsidR="00147952" w:rsidRPr="005457A8" w:rsidRDefault="00147952" w:rsidP="00B648F0"/>
    <w:p w14:paraId="3094D247" w14:textId="3C7B707D" w:rsidR="00147952" w:rsidRPr="005457A8" w:rsidRDefault="00870DE8" w:rsidP="00B648F0">
      <w:pPr>
        <w:pStyle w:val="ListParagraph"/>
        <w:numPr>
          <w:ilvl w:val="1"/>
          <w:numId w:val="32"/>
        </w:numPr>
      </w:pPr>
      <w:r w:rsidRPr="005457A8">
        <w:t>Applicable law and venue.</w:t>
      </w:r>
      <w:r w:rsidR="00F22FF1" w:rsidRPr="005457A8">
        <w:rPr>
          <w:rFonts w:cstheme="minorHAnsi"/>
        </w:rPr>
        <w:t xml:space="preserve"> </w:t>
      </w:r>
      <w:r w:rsidRPr="005457A8">
        <w:t xml:space="preserve"> Unless required otherwise by the </w:t>
      </w:r>
      <w:r w:rsidR="00D42DC0">
        <w:t>Secondary Opioid Manufacturer</w:t>
      </w:r>
      <w:r w:rsidR="00254DC2">
        <w:t xml:space="preserve"> Settlement</w:t>
      </w:r>
      <w:r w:rsidR="00D42DC0">
        <w:t>s</w:t>
      </w:r>
      <w:r w:rsidRPr="005457A8">
        <w:t xml:space="preserve">, this </w:t>
      </w:r>
      <w:r w:rsidR="00502CAB">
        <w:t>SAAF-</w:t>
      </w:r>
      <w:r w:rsidR="00D42DC0">
        <w:t>3</w:t>
      </w:r>
      <w:r w:rsidR="00254DC2" w:rsidRPr="005457A8">
        <w:t xml:space="preserve"> </w:t>
      </w:r>
      <w:r w:rsidRPr="005457A8">
        <w:t xml:space="preserve">shall be interpreted using North Carolina law and any action related to the provisions of this </w:t>
      </w:r>
      <w:r w:rsidR="00502CAB">
        <w:t>SAAF-</w:t>
      </w:r>
      <w:r w:rsidR="00D42DC0">
        <w:t>3</w:t>
      </w:r>
      <w:r w:rsidRPr="005457A8">
        <w:t xml:space="preserve"> must be adjudicated by the Superior Court of Wake County. </w:t>
      </w:r>
      <w:r w:rsidR="00F22FF1" w:rsidRPr="005457A8">
        <w:rPr>
          <w:rFonts w:cstheme="minorHAnsi"/>
        </w:rPr>
        <w:t xml:space="preserve"> </w:t>
      </w:r>
      <w:r w:rsidRPr="005457A8">
        <w:t xml:space="preserve">If any provision of this </w:t>
      </w:r>
      <w:r w:rsidR="00502CAB">
        <w:t>SAAF-</w:t>
      </w:r>
      <w:r w:rsidR="00D42DC0">
        <w:t>3</w:t>
      </w:r>
      <w:r w:rsidRPr="005457A8">
        <w:t xml:space="preserve"> is held invalid by any court of competent jurisdiction, this invalidity does not affect any other provision which can be given effect without the invalid provision.</w:t>
      </w:r>
      <w:r w:rsidR="00F22FF1" w:rsidRPr="005457A8">
        <w:rPr>
          <w:rFonts w:cstheme="minorHAnsi"/>
        </w:rPr>
        <w:t xml:space="preserve">  </w:t>
      </w:r>
    </w:p>
    <w:p w14:paraId="5853C71B" w14:textId="77777777" w:rsidR="00147952" w:rsidRPr="005457A8" w:rsidRDefault="00147952" w:rsidP="00B648F0">
      <w:pPr>
        <w:pStyle w:val="ListParagraph"/>
        <w:ind w:left="1440"/>
      </w:pPr>
    </w:p>
    <w:p w14:paraId="210A446E" w14:textId="7D61102F" w:rsidR="00147952" w:rsidRPr="005457A8" w:rsidRDefault="00870DE8" w:rsidP="00B648F0">
      <w:pPr>
        <w:pStyle w:val="ListParagraph"/>
        <w:numPr>
          <w:ilvl w:val="1"/>
          <w:numId w:val="32"/>
        </w:numPr>
      </w:pPr>
      <w:r w:rsidRPr="005457A8">
        <w:lastRenderedPageBreak/>
        <w:t xml:space="preserve">Scope of this </w:t>
      </w:r>
      <w:r w:rsidR="00502CAB">
        <w:t>SAAF-</w:t>
      </w:r>
      <w:r w:rsidR="00D42DC0">
        <w:t>3</w:t>
      </w:r>
      <w:r w:rsidRPr="005457A8">
        <w:t>.</w:t>
      </w:r>
      <w:r w:rsidR="00F22FF1" w:rsidRPr="005457A8">
        <w:rPr>
          <w:rFonts w:cstheme="minorHAnsi"/>
        </w:rPr>
        <w:t xml:space="preserve"> </w:t>
      </w:r>
      <w:r w:rsidRPr="005457A8">
        <w:t xml:space="preserve"> The Parties acknowledge this </w:t>
      </w:r>
      <w:r w:rsidR="00502CAB">
        <w:t>SAAF-</w:t>
      </w:r>
      <w:r w:rsidR="00D42DC0">
        <w:t>3</w:t>
      </w:r>
      <w:r w:rsidRPr="005457A8">
        <w:t xml:space="preserve"> does not excuse any requirements placed upon them by the terms of the </w:t>
      </w:r>
      <w:r w:rsidR="00D42DC0">
        <w:t>Secondary Opioid Manufacturer</w:t>
      </w:r>
      <w:r w:rsidR="00254DC2">
        <w:t xml:space="preserve"> Settlement</w:t>
      </w:r>
      <w:r w:rsidR="00D42DC0">
        <w:t>s</w:t>
      </w:r>
      <w:r w:rsidRPr="005457A8">
        <w:t>, except to the extent those terms allow for a State-Subdivision Agreement to do</w:t>
      </w:r>
      <w:r w:rsidR="00147952" w:rsidRPr="005457A8">
        <w:t xml:space="preserve"> so.</w:t>
      </w:r>
    </w:p>
    <w:p w14:paraId="21EFFFD6" w14:textId="77777777" w:rsidR="00147952" w:rsidRPr="005457A8" w:rsidRDefault="00147952" w:rsidP="00B648F0">
      <w:pPr>
        <w:pStyle w:val="ListParagraph"/>
        <w:ind w:left="1440"/>
      </w:pPr>
    </w:p>
    <w:p w14:paraId="0F368059" w14:textId="0FB6DD27" w:rsidR="00147952" w:rsidRPr="005457A8" w:rsidRDefault="00870DE8" w:rsidP="00B648F0">
      <w:pPr>
        <w:pStyle w:val="ListParagraph"/>
        <w:numPr>
          <w:ilvl w:val="1"/>
          <w:numId w:val="32"/>
        </w:numPr>
      </w:pPr>
      <w:r w:rsidRPr="005457A8">
        <w:t xml:space="preserve">No </w:t>
      </w:r>
      <w:proofErr w:type="gramStart"/>
      <w:r w:rsidRPr="005457A8">
        <w:t>third party</w:t>
      </w:r>
      <w:proofErr w:type="gramEnd"/>
      <w:r w:rsidRPr="005457A8">
        <w:t xml:space="preserve"> beneficiaries. </w:t>
      </w:r>
      <w:r w:rsidR="00F22FF1" w:rsidRPr="005457A8">
        <w:rPr>
          <w:rFonts w:cstheme="minorHAnsi"/>
        </w:rPr>
        <w:t xml:space="preserve"> </w:t>
      </w:r>
      <w:r w:rsidRPr="005457A8">
        <w:t xml:space="preserve">No person or entity is intended to be a </w:t>
      </w:r>
      <w:proofErr w:type="gramStart"/>
      <w:r w:rsidRPr="005457A8">
        <w:t>third party</w:t>
      </w:r>
      <w:proofErr w:type="gramEnd"/>
      <w:r w:rsidRPr="005457A8">
        <w:t xml:space="preserve"> beneficiary of this </w:t>
      </w:r>
      <w:r w:rsidR="00502CAB">
        <w:t>SAAF-</w:t>
      </w:r>
      <w:r w:rsidR="00D42DC0">
        <w:t>3</w:t>
      </w:r>
      <w:r w:rsidRPr="005457A8">
        <w:t>.</w:t>
      </w:r>
    </w:p>
    <w:p w14:paraId="38E69460" w14:textId="77777777" w:rsidR="00147952" w:rsidRPr="005457A8" w:rsidRDefault="00147952" w:rsidP="00B648F0">
      <w:pPr>
        <w:pStyle w:val="ListParagraph"/>
        <w:ind w:left="1440"/>
      </w:pPr>
    </w:p>
    <w:p w14:paraId="00D6E9A4" w14:textId="754EE13B" w:rsidR="00147952" w:rsidRPr="005457A8" w:rsidRDefault="00870DE8" w:rsidP="00B648F0">
      <w:pPr>
        <w:pStyle w:val="ListParagraph"/>
        <w:numPr>
          <w:ilvl w:val="1"/>
          <w:numId w:val="32"/>
        </w:numPr>
      </w:pPr>
      <w:r w:rsidRPr="005457A8">
        <w:t xml:space="preserve">No effect on authority of parties. </w:t>
      </w:r>
      <w:r w:rsidR="00F22FF1" w:rsidRPr="005457A8">
        <w:rPr>
          <w:rFonts w:cstheme="minorHAnsi"/>
        </w:rPr>
        <w:t xml:space="preserve"> </w:t>
      </w:r>
      <w:r w:rsidRPr="005457A8">
        <w:t xml:space="preserve">Nothing in this </w:t>
      </w:r>
      <w:r w:rsidR="00502CAB">
        <w:t>SAAF-</w:t>
      </w:r>
      <w:r w:rsidR="00D42DC0">
        <w:t>3</w:t>
      </w:r>
      <w:r w:rsidRPr="005457A8">
        <w:t xml:space="preserve"> shall be construed to affect or constrain the authority of the Parties under law.</w:t>
      </w:r>
      <w:r w:rsidR="00F22FF1" w:rsidRPr="005457A8">
        <w:rPr>
          <w:rFonts w:cstheme="minorHAnsi"/>
        </w:rPr>
        <w:t xml:space="preserve">  </w:t>
      </w:r>
    </w:p>
    <w:p w14:paraId="4FCDE5FC" w14:textId="77777777" w:rsidR="00147952" w:rsidRPr="005457A8" w:rsidRDefault="00147952" w:rsidP="00B648F0">
      <w:pPr>
        <w:pStyle w:val="ListParagraph"/>
        <w:ind w:left="1440"/>
      </w:pPr>
    </w:p>
    <w:p w14:paraId="5E2B3D2A" w14:textId="7930F53F" w:rsidR="002759B3" w:rsidRPr="00D42DC0" w:rsidRDefault="00870DE8" w:rsidP="00901EA5">
      <w:pPr>
        <w:pStyle w:val="ListParagraph"/>
        <w:numPr>
          <w:ilvl w:val="1"/>
          <w:numId w:val="32"/>
        </w:numPr>
        <w:rPr>
          <w:rFonts w:cstheme="minorHAnsi"/>
        </w:rPr>
      </w:pPr>
      <w:r w:rsidRPr="005457A8">
        <w:t xml:space="preserve">Signing and execution of this </w:t>
      </w:r>
      <w:r w:rsidR="00502CAB">
        <w:t>SAAF-</w:t>
      </w:r>
      <w:r w:rsidR="00D42DC0">
        <w:t>3</w:t>
      </w:r>
      <w:r w:rsidRPr="005457A8">
        <w:t>.</w:t>
      </w:r>
      <w:r w:rsidR="00F22FF1" w:rsidRPr="00D42DC0">
        <w:rPr>
          <w:rFonts w:cstheme="minorHAnsi"/>
        </w:rPr>
        <w:t xml:space="preserve"> </w:t>
      </w:r>
      <w:r w:rsidRPr="005457A8">
        <w:t xml:space="preserve"> This </w:t>
      </w:r>
      <w:r w:rsidR="00502CAB">
        <w:t>SAAF-</w:t>
      </w:r>
      <w:r w:rsidR="00D42DC0">
        <w:t>3</w:t>
      </w:r>
      <w:r w:rsidRPr="005457A8">
        <w:t xml:space="preserve"> may be signed and executed simultaneously in any number of counterparts, each of which shall be deemed an original, but all of which together shall constitute one and the same agreement. </w:t>
      </w:r>
      <w:r w:rsidR="00F22FF1" w:rsidRPr="00D42DC0">
        <w:rPr>
          <w:rFonts w:cstheme="minorHAnsi"/>
        </w:rPr>
        <w:t xml:space="preserve"> </w:t>
      </w:r>
      <w:r w:rsidRPr="005457A8">
        <w:t>A signature transmitted by facsimile</w:t>
      </w:r>
      <w:r w:rsidR="00F6667A">
        <w:t>,</w:t>
      </w:r>
      <w:r w:rsidRPr="005457A8">
        <w:t xml:space="preserve"> electronic image</w:t>
      </w:r>
      <w:r w:rsidR="00F6667A">
        <w:t>, or DocuSign</w:t>
      </w:r>
      <w:r w:rsidRPr="005457A8">
        <w:t xml:space="preserve"> shall be deemed an original signature for purposes of executing this </w:t>
      </w:r>
      <w:r w:rsidR="00502CAB">
        <w:t>SAAF-</w:t>
      </w:r>
      <w:r w:rsidR="00D42DC0">
        <w:t>3</w:t>
      </w:r>
      <w:r w:rsidRPr="005457A8">
        <w:t xml:space="preserve">. </w:t>
      </w:r>
      <w:r w:rsidR="00F22FF1" w:rsidRPr="00D42DC0">
        <w:rPr>
          <w:rFonts w:cstheme="minorHAnsi"/>
        </w:rPr>
        <w:t xml:space="preserve"> </w:t>
      </w:r>
      <w:r w:rsidRPr="005457A8">
        <w:t xml:space="preserve">Each person signing this </w:t>
      </w:r>
      <w:r w:rsidR="00502CAB">
        <w:t>SAAF-</w:t>
      </w:r>
      <w:r w:rsidR="00D42DC0">
        <w:t>3</w:t>
      </w:r>
      <w:r w:rsidRPr="005457A8">
        <w:t xml:space="preserve"> represents he or she is fully authorized to </w:t>
      </w:r>
      <w:proofErr w:type="gramStart"/>
      <w:r w:rsidRPr="005457A8">
        <w:t>enter into</w:t>
      </w:r>
      <w:proofErr w:type="gramEnd"/>
      <w:r w:rsidRPr="005457A8">
        <w:t xml:space="preserve"> the terms and conditions of, and to execute, this </w:t>
      </w:r>
      <w:r w:rsidR="00502CAB">
        <w:t>SAAF-</w:t>
      </w:r>
      <w:r w:rsidR="00D42DC0">
        <w:t>3</w:t>
      </w:r>
      <w:r w:rsidRPr="005457A8">
        <w:t>, and all necessary approvals and conditions precedent to execution have been satisfied.</w:t>
      </w:r>
    </w:p>
    <w:p w14:paraId="31C33CC3" w14:textId="77777777" w:rsidR="004F2A90" w:rsidRDefault="004F2A90" w:rsidP="3BC4491C">
      <w:pPr>
        <w:rPr>
          <w:rFonts w:cstheme="minorHAnsi"/>
        </w:rPr>
      </w:pPr>
    </w:p>
    <w:p w14:paraId="557C8D63" w14:textId="77777777" w:rsidR="00D42DC0" w:rsidRPr="005457A8" w:rsidRDefault="00D42DC0" w:rsidP="3BC4491C">
      <w:pPr>
        <w:rPr>
          <w:rFonts w:cstheme="minorHAnsi"/>
        </w:rPr>
      </w:pPr>
    </w:p>
    <w:p w14:paraId="73BA33A9" w14:textId="793D8E1B" w:rsidR="00A7465B" w:rsidRPr="005457A8" w:rsidRDefault="00A7465B" w:rsidP="3BC4491C">
      <w:pPr>
        <w:rPr>
          <w:b/>
          <w:bCs/>
          <w:sz w:val="26"/>
          <w:szCs w:val="26"/>
          <w:u w:val="single"/>
        </w:rPr>
      </w:pPr>
      <w:r w:rsidRPr="005457A8">
        <w:rPr>
          <w:b/>
          <w:bCs/>
          <w:sz w:val="26"/>
          <w:szCs w:val="26"/>
          <w:u w:val="single"/>
        </w:rPr>
        <w:t>IV.</w:t>
      </w:r>
      <w:r w:rsidRPr="005457A8">
        <w:rPr>
          <w:rFonts w:cstheme="minorBidi"/>
          <w:b/>
          <w:bCs/>
          <w:sz w:val="26"/>
          <w:szCs w:val="26"/>
          <w:u w:val="single"/>
        </w:rPr>
        <w:t xml:space="preserve"> </w:t>
      </w:r>
      <w:r w:rsidRPr="005457A8">
        <w:rPr>
          <w:b/>
          <w:bCs/>
          <w:sz w:val="26"/>
          <w:szCs w:val="26"/>
          <w:u w:val="single"/>
        </w:rPr>
        <w:t xml:space="preserve"> LOCAL COUNSEL FEE FUND</w:t>
      </w:r>
    </w:p>
    <w:p w14:paraId="495CCC83" w14:textId="77777777" w:rsidR="00147952" w:rsidRPr="005457A8" w:rsidRDefault="00147952">
      <w:pPr>
        <w:rPr>
          <w:rFonts w:ascii="Tahoma" w:hAnsi="Tahoma"/>
          <w:sz w:val="23"/>
        </w:rPr>
      </w:pPr>
    </w:p>
    <w:p w14:paraId="081E89A5" w14:textId="59C1626E" w:rsidR="00A7465B" w:rsidRPr="005457A8" w:rsidRDefault="00A7465B" w:rsidP="002759B3">
      <w:r w:rsidRPr="005457A8">
        <w:t xml:space="preserve">Local Counsel have reviewed the </w:t>
      </w:r>
      <w:r w:rsidR="007B3A89">
        <w:t>Secondary Opioid Manufacturer</w:t>
      </w:r>
      <w:r w:rsidR="00254DC2">
        <w:t xml:space="preserve"> Settlement</w:t>
      </w:r>
      <w:r w:rsidR="007B3A89">
        <w:t>s</w:t>
      </w:r>
      <w:r w:rsidRPr="005457A8">
        <w:t xml:space="preserve">, find </w:t>
      </w:r>
      <w:r w:rsidR="007B3A89">
        <w:t>them</w:t>
      </w:r>
      <w:r w:rsidR="00254DC2" w:rsidRPr="005457A8">
        <w:t xml:space="preserve"> </w:t>
      </w:r>
      <w:r w:rsidRPr="005457A8">
        <w:t>t</w:t>
      </w:r>
      <w:r w:rsidRPr="00036BBF">
        <w:t xml:space="preserve">o be equitable, and recommend </w:t>
      </w:r>
      <w:r w:rsidR="00B54EEA" w:rsidRPr="00036BBF">
        <w:rPr>
          <w:rFonts w:cs="Tahoma"/>
        </w:rPr>
        <w:t>their clients</w:t>
      </w:r>
      <w:r w:rsidR="00B54EEA" w:rsidRPr="00036BBF">
        <w:t xml:space="preserve"> </w:t>
      </w:r>
      <w:r w:rsidRPr="00036BBF">
        <w:t xml:space="preserve">execute </w:t>
      </w:r>
      <w:r w:rsidR="00254DC2">
        <w:t>the</w:t>
      </w:r>
      <w:r w:rsidR="007B3A89">
        <w:t>se</w:t>
      </w:r>
      <w:r w:rsidR="00254DC2">
        <w:t xml:space="preserve"> </w:t>
      </w:r>
      <w:r w:rsidR="007B3A89">
        <w:t>Secondary Opioid Manufacturer</w:t>
      </w:r>
      <w:r w:rsidR="00254DC2">
        <w:t xml:space="preserve"> Settlement</w:t>
      </w:r>
      <w:r w:rsidR="007B3A89">
        <w:t>s</w:t>
      </w:r>
      <w:r w:rsidRPr="00036BBF">
        <w:t xml:space="preserve"> and this </w:t>
      </w:r>
      <w:r w:rsidR="00502CAB">
        <w:t>SAAF-</w:t>
      </w:r>
      <w:r w:rsidR="007B3A89">
        <w:t>3</w:t>
      </w:r>
      <w:r w:rsidRPr="00036BBF">
        <w:t>.</w:t>
      </w:r>
      <w:r w:rsidR="005A1813" w:rsidRPr="00036BBF">
        <w:t xml:space="preserve">  </w:t>
      </w:r>
      <w:r w:rsidR="009766DB" w:rsidRPr="00036BBF">
        <w:t>I</w:t>
      </w:r>
      <w:r w:rsidR="00294327" w:rsidRPr="00036BBF">
        <w:rPr>
          <w:rFonts w:cstheme="minorBidi"/>
        </w:rPr>
        <w:t xml:space="preserve">f </w:t>
      </w:r>
      <w:bookmarkStart w:id="2" w:name="_Hlk121907294"/>
      <w:r w:rsidR="00036BBF">
        <w:rPr>
          <w:rFonts w:cstheme="minorBidi"/>
        </w:rPr>
        <w:t xml:space="preserve">(1) </w:t>
      </w:r>
      <w:r w:rsidR="00036BBF" w:rsidRPr="00036BBF">
        <w:rPr>
          <w:rFonts w:cstheme="minorBidi"/>
        </w:rPr>
        <w:t xml:space="preserve">all Local Counsel </w:t>
      </w:r>
      <w:r w:rsidR="004F2A90">
        <w:rPr>
          <w:rFonts w:cstheme="minorBidi"/>
        </w:rPr>
        <w:t xml:space="preserve">sign this </w:t>
      </w:r>
      <w:r w:rsidR="00502CAB">
        <w:rPr>
          <w:rFonts w:cstheme="minorBidi"/>
        </w:rPr>
        <w:t>SAAF-</w:t>
      </w:r>
      <w:r w:rsidR="007B3A89">
        <w:rPr>
          <w:rFonts w:cstheme="minorBidi"/>
        </w:rPr>
        <w:t>3</w:t>
      </w:r>
      <w:r w:rsidR="004F2A90">
        <w:rPr>
          <w:rFonts w:cstheme="minorBidi"/>
        </w:rPr>
        <w:t xml:space="preserve"> whereby they </w:t>
      </w:r>
      <w:r w:rsidR="00036BBF" w:rsidRPr="00036BBF">
        <w:rPr>
          <w:sz w:val="23"/>
        </w:rPr>
        <w:t xml:space="preserve">consent to the terms of this </w:t>
      </w:r>
      <w:r w:rsidR="00502CAB">
        <w:rPr>
          <w:sz w:val="23"/>
        </w:rPr>
        <w:t>SAAF-</w:t>
      </w:r>
      <w:r w:rsidR="007B3A89">
        <w:rPr>
          <w:sz w:val="23"/>
        </w:rPr>
        <w:t>3</w:t>
      </w:r>
      <w:r w:rsidR="00036BBF" w:rsidRPr="00036BBF">
        <w:rPr>
          <w:sz w:val="23"/>
        </w:rPr>
        <w:t xml:space="preserve"> and agree to be legally bound by this </w:t>
      </w:r>
      <w:r w:rsidR="00502CAB">
        <w:rPr>
          <w:sz w:val="23"/>
        </w:rPr>
        <w:t>SAAF-</w:t>
      </w:r>
      <w:r w:rsidR="007B3A89">
        <w:rPr>
          <w:sz w:val="23"/>
        </w:rPr>
        <w:t>3</w:t>
      </w:r>
      <w:r w:rsidR="00036BBF" w:rsidRPr="00036BBF">
        <w:rPr>
          <w:sz w:val="23"/>
        </w:rPr>
        <w:t xml:space="preserve">, including but not limited to </w:t>
      </w:r>
      <w:r w:rsidR="00357CDB">
        <w:rPr>
          <w:sz w:val="23"/>
        </w:rPr>
        <w:t>S</w:t>
      </w:r>
      <w:r w:rsidR="00036BBF" w:rsidRPr="00036BBF">
        <w:rPr>
          <w:sz w:val="23"/>
        </w:rPr>
        <w:t xml:space="preserve">ection IV of this </w:t>
      </w:r>
      <w:r w:rsidR="00502CAB">
        <w:rPr>
          <w:sz w:val="23"/>
        </w:rPr>
        <w:t>SAAF-</w:t>
      </w:r>
      <w:r w:rsidR="007B3A89">
        <w:rPr>
          <w:sz w:val="23"/>
        </w:rPr>
        <w:t>3</w:t>
      </w:r>
      <w:r w:rsidR="00036BBF" w:rsidRPr="00036BBF">
        <w:rPr>
          <w:rFonts w:cstheme="minorBidi"/>
        </w:rPr>
        <w:t xml:space="preserve">, and </w:t>
      </w:r>
      <w:r w:rsidR="00036BBF">
        <w:rPr>
          <w:rFonts w:cstheme="minorBidi"/>
        </w:rPr>
        <w:t xml:space="preserve">(2) </w:t>
      </w:r>
      <w:r w:rsidR="00294327" w:rsidRPr="00036BBF">
        <w:rPr>
          <w:rFonts w:cstheme="minorBidi"/>
        </w:rPr>
        <w:t xml:space="preserve">all </w:t>
      </w:r>
      <w:bookmarkEnd w:id="2"/>
      <w:r w:rsidR="00EA317A" w:rsidRPr="00036BBF">
        <w:rPr>
          <w:rFonts w:cstheme="minorBidi"/>
        </w:rPr>
        <w:t xml:space="preserve">Required Local Governments </w:t>
      </w:r>
      <w:r w:rsidR="00AC74F8" w:rsidRPr="00036BBF">
        <w:t xml:space="preserve">agree </w:t>
      </w:r>
      <w:r w:rsidR="00BF188F" w:rsidRPr="00036BBF">
        <w:t xml:space="preserve">on or </w:t>
      </w:r>
      <w:r w:rsidR="00502CAB">
        <w:t xml:space="preserve">before </w:t>
      </w:r>
      <w:r w:rsidR="007B3A89">
        <w:t>[insert TBD settlement participation deadline date, expected to be approximately October 1]</w:t>
      </w:r>
      <w:r w:rsidR="00502CAB">
        <w:t>, 202</w:t>
      </w:r>
      <w:r w:rsidR="007B3A89">
        <w:t>5</w:t>
      </w:r>
      <w:r w:rsidR="00502CAB">
        <w:t xml:space="preserve"> </w:t>
      </w:r>
      <w:r w:rsidR="00AC74F8" w:rsidRPr="00036BBF">
        <w:t xml:space="preserve">to </w:t>
      </w:r>
      <w:r w:rsidR="002F5084">
        <w:t xml:space="preserve">execute the </w:t>
      </w:r>
      <w:r w:rsidR="007B3A89">
        <w:t>Secondary Opioid Manufacturer</w:t>
      </w:r>
      <w:r w:rsidR="002F5084">
        <w:t xml:space="preserve"> Settlement</w:t>
      </w:r>
      <w:r w:rsidR="007B3A89">
        <w:t>s</w:t>
      </w:r>
      <w:r w:rsidR="002F5084">
        <w:t xml:space="preserve">, and </w:t>
      </w:r>
      <w:r w:rsidR="00C85DA8" w:rsidRPr="00036BBF">
        <w:rPr>
          <w:rFonts w:cstheme="minorBidi"/>
        </w:rPr>
        <w:t>dismiss</w:t>
      </w:r>
      <w:r w:rsidR="000A3116" w:rsidRPr="00036BBF">
        <w:t xml:space="preserve"> litigation </w:t>
      </w:r>
      <w:r w:rsidR="2AAD053A" w:rsidRPr="00036BBF">
        <w:t xml:space="preserve">against </w:t>
      </w:r>
      <w:r w:rsidR="007B3A89">
        <w:t>the Secondary Opioid Manufacturer Defendants</w:t>
      </w:r>
      <w:r w:rsidR="2AAD053A" w:rsidRPr="00036BBF">
        <w:t xml:space="preserve"> </w:t>
      </w:r>
      <w:r w:rsidR="002F5084">
        <w:t xml:space="preserve">(if applicable), </w:t>
      </w:r>
      <w:r w:rsidR="000A3116" w:rsidRPr="00036BBF">
        <w:t xml:space="preserve">as </w:t>
      </w:r>
      <w:r w:rsidR="00BB2602" w:rsidRPr="00036BBF">
        <w:t>required</w:t>
      </w:r>
      <w:r w:rsidR="000A3116" w:rsidRPr="00036BBF">
        <w:t xml:space="preserve"> by the </w:t>
      </w:r>
      <w:r w:rsidR="007B3A89">
        <w:t>Secondary Opioid Manufacturer</w:t>
      </w:r>
      <w:r w:rsidR="00254DC2">
        <w:t xml:space="preserve"> Settlement</w:t>
      </w:r>
      <w:r w:rsidR="007B3A89">
        <w:t>s</w:t>
      </w:r>
      <w:r w:rsidR="000A3116" w:rsidRPr="00036BBF">
        <w:t xml:space="preserve">, </w:t>
      </w:r>
      <w:r w:rsidR="00294327" w:rsidRPr="00036BBF">
        <w:rPr>
          <w:rFonts w:cstheme="minorBidi"/>
        </w:rPr>
        <w:t>then each</w:t>
      </w:r>
      <w:r w:rsidR="000A3116" w:rsidRPr="00036BBF">
        <w:t xml:space="preserve"> </w:t>
      </w:r>
      <w:r w:rsidRPr="00036BBF">
        <w:t xml:space="preserve">Local Counsel shall be entitled to receive a portion of the Local Counsel Fee Fund for </w:t>
      </w:r>
      <w:r w:rsidR="06D3492E" w:rsidRPr="00036BBF">
        <w:t>the</w:t>
      </w:r>
      <w:r w:rsidRPr="00036BBF">
        <w:t xml:space="preserve"> </w:t>
      </w:r>
      <w:r w:rsidR="007B3A89">
        <w:t>Secondary Opioid Manufacturer</w:t>
      </w:r>
      <w:r w:rsidR="00254DC2">
        <w:t xml:space="preserve"> Settlement</w:t>
      </w:r>
      <w:r w:rsidR="007B3A89">
        <w:t>s</w:t>
      </w:r>
      <w:r w:rsidRPr="00036BBF">
        <w:t xml:space="preserve">, in such proportions as set forth </w:t>
      </w:r>
      <w:r w:rsidR="00CF351E" w:rsidRPr="00036BBF">
        <w:t>below</w:t>
      </w:r>
      <w:r w:rsidRPr="00036BBF">
        <w:t xml:space="preserve">.  </w:t>
      </w:r>
      <w:r w:rsidR="00C92655" w:rsidRPr="00036BBF">
        <w:t xml:space="preserve">If one or more Required Local Governments does not </w:t>
      </w:r>
      <w:r w:rsidR="002F5084">
        <w:t xml:space="preserve">execute the </w:t>
      </w:r>
      <w:r w:rsidR="007B3A89">
        <w:t>Secondary Opioid Manufacturer</w:t>
      </w:r>
      <w:r w:rsidR="002F5084">
        <w:t xml:space="preserve"> Settlement</w:t>
      </w:r>
      <w:r w:rsidR="007B3A89">
        <w:t>s</w:t>
      </w:r>
      <w:r w:rsidR="002F5084">
        <w:t xml:space="preserve">, and </w:t>
      </w:r>
      <w:r w:rsidR="00C92655" w:rsidRPr="00036BBF">
        <w:t xml:space="preserve">dismiss litigation </w:t>
      </w:r>
      <w:r w:rsidR="002F5084">
        <w:t xml:space="preserve">(if applicable), </w:t>
      </w:r>
      <w:r w:rsidR="00C92655" w:rsidRPr="00036BBF">
        <w:t>as required by th</w:t>
      </w:r>
      <w:r w:rsidR="56A25961" w:rsidRPr="00036BBF">
        <w:t>e</w:t>
      </w:r>
      <w:r w:rsidR="00C92655" w:rsidRPr="00036BBF">
        <w:t xml:space="preserve"> </w:t>
      </w:r>
      <w:r w:rsidR="007B3A89">
        <w:t>Secondary Opioid Manufacturer</w:t>
      </w:r>
      <w:r w:rsidR="00254DC2">
        <w:t xml:space="preserve"> Settlement</w:t>
      </w:r>
      <w:r w:rsidR="007B3A89">
        <w:t>s</w:t>
      </w:r>
      <w:r w:rsidR="00C92655" w:rsidRPr="005457A8">
        <w:t xml:space="preserve">, then the </w:t>
      </w:r>
      <w:r w:rsidR="004776BF" w:rsidRPr="005457A8">
        <w:rPr>
          <w:rFonts w:cstheme="minorBidi"/>
        </w:rPr>
        <w:t>0.</w:t>
      </w:r>
      <w:r w:rsidR="007A448C" w:rsidRPr="005457A8">
        <w:rPr>
          <w:rFonts w:cstheme="minorBidi"/>
        </w:rPr>
        <w:t>3</w:t>
      </w:r>
      <w:r w:rsidR="00572F98">
        <w:rPr>
          <w:rFonts w:cstheme="minorBidi"/>
        </w:rPr>
        <w:t>8</w:t>
      </w:r>
      <w:r w:rsidR="004776BF" w:rsidRPr="005457A8">
        <w:rPr>
          <w:rFonts w:cstheme="minorBidi"/>
        </w:rPr>
        <w:t>%</w:t>
      </w:r>
      <w:r w:rsidR="00C92655" w:rsidRPr="005457A8">
        <w:t xml:space="preserve"> share of </w:t>
      </w:r>
      <w:r w:rsidR="007B3A89">
        <w:rPr>
          <w:rFonts w:cstheme="minorBidi"/>
        </w:rPr>
        <w:t>Secondary Opioid Manufacturer</w:t>
      </w:r>
      <w:r w:rsidR="00254DC2" w:rsidRPr="005457A8">
        <w:rPr>
          <w:rFonts w:cstheme="minorBidi"/>
        </w:rPr>
        <w:t xml:space="preserve"> </w:t>
      </w:r>
      <w:r w:rsidR="009A5467" w:rsidRPr="005457A8">
        <w:rPr>
          <w:rFonts w:cstheme="minorBidi"/>
        </w:rPr>
        <w:t>F</w:t>
      </w:r>
      <w:r w:rsidR="00294327" w:rsidRPr="005457A8">
        <w:rPr>
          <w:rFonts w:cstheme="minorBidi"/>
        </w:rPr>
        <w:t xml:space="preserve">unds set forth in Section </w:t>
      </w:r>
      <w:r w:rsidR="00FF2D04" w:rsidRPr="005457A8">
        <w:rPr>
          <w:rFonts w:cstheme="minorBidi"/>
        </w:rPr>
        <w:t>III.</w:t>
      </w:r>
      <w:r w:rsidR="00294327" w:rsidRPr="005457A8">
        <w:rPr>
          <w:rFonts w:cstheme="minorBidi"/>
        </w:rPr>
        <w:t xml:space="preserve">B.2 </w:t>
      </w:r>
      <w:r w:rsidR="003B1792" w:rsidRPr="005457A8">
        <w:rPr>
          <w:rFonts w:cstheme="minorBidi"/>
        </w:rPr>
        <w:t xml:space="preserve">of this </w:t>
      </w:r>
      <w:r w:rsidR="00502CAB">
        <w:rPr>
          <w:rFonts w:cstheme="minorBidi"/>
        </w:rPr>
        <w:t>SAAF-</w:t>
      </w:r>
      <w:r w:rsidR="007B3A89">
        <w:rPr>
          <w:rFonts w:cstheme="minorBidi"/>
        </w:rPr>
        <w:t>3</w:t>
      </w:r>
      <w:r w:rsidR="003B1792" w:rsidRPr="005457A8">
        <w:rPr>
          <w:rFonts w:cstheme="minorBidi"/>
        </w:rPr>
        <w:t xml:space="preserve"> </w:t>
      </w:r>
      <w:r w:rsidR="009A5467" w:rsidRPr="005457A8">
        <w:rPr>
          <w:rFonts w:cstheme="minorBidi"/>
        </w:rPr>
        <w:t xml:space="preserve">for </w:t>
      </w:r>
      <w:r w:rsidR="00C92655" w:rsidRPr="005457A8">
        <w:t xml:space="preserve">the Local Counsel Fee Fund shall be </w:t>
      </w:r>
      <w:r w:rsidR="00294327" w:rsidRPr="005457A8">
        <w:rPr>
          <w:rFonts w:cstheme="minorBidi"/>
        </w:rPr>
        <w:t>included in</w:t>
      </w:r>
      <w:r w:rsidR="00C92655" w:rsidRPr="005457A8">
        <w:t xml:space="preserve"> the Local </w:t>
      </w:r>
      <w:r w:rsidR="007B3A89">
        <w:t>Secondary Opioid Manufacturer</w:t>
      </w:r>
      <w:r w:rsidR="00254DC2" w:rsidRPr="005457A8">
        <w:t xml:space="preserve"> </w:t>
      </w:r>
      <w:r w:rsidR="00C92655" w:rsidRPr="005457A8">
        <w:t>Abatement Funds</w:t>
      </w:r>
      <w:r w:rsidR="00294327" w:rsidRPr="005457A8">
        <w:rPr>
          <w:rFonts w:cstheme="minorBidi"/>
        </w:rPr>
        <w:t xml:space="preserve">, such that </w:t>
      </w:r>
      <w:r w:rsidR="009A5467" w:rsidRPr="005457A8">
        <w:rPr>
          <w:rFonts w:cstheme="minorBidi"/>
        </w:rPr>
        <w:t xml:space="preserve">85% of the </w:t>
      </w:r>
      <w:r w:rsidR="007B3A89">
        <w:rPr>
          <w:rFonts w:cstheme="minorBidi"/>
        </w:rPr>
        <w:t>Secondary Opioid Manufacturer</w:t>
      </w:r>
      <w:r w:rsidR="00254DC2" w:rsidRPr="005457A8">
        <w:rPr>
          <w:rFonts w:cstheme="minorBidi"/>
        </w:rPr>
        <w:t xml:space="preserve"> </w:t>
      </w:r>
      <w:r w:rsidR="009A5467" w:rsidRPr="005457A8">
        <w:rPr>
          <w:rFonts w:cstheme="minorBidi"/>
        </w:rPr>
        <w:t xml:space="preserve">Funds will be allocated to </w:t>
      </w:r>
      <w:r w:rsidR="00294327" w:rsidRPr="005457A8">
        <w:rPr>
          <w:rFonts w:cstheme="minorBidi"/>
        </w:rPr>
        <w:t xml:space="preserve">Local </w:t>
      </w:r>
      <w:r w:rsidR="007B3A89">
        <w:rPr>
          <w:rFonts w:cstheme="minorBidi"/>
        </w:rPr>
        <w:t>Secondary Opioid Manufacturer</w:t>
      </w:r>
      <w:r w:rsidR="00254DC2" w:rsidRPr="005457A8">
        <w:rPr>
          <w:rFonts w:cstheme="minorBidi"/>
        </w:rPr>
        <w:t xml:space="preserve"> </w:t>
      </w:r>
      <w:r w:rsidR="009A5467" w:rsidRPr="005457A8">
        <w:rPr>
          <w:rFonts w:cstheme="minorBidi"/>
        </w:rPr>
        <w:t>Abatement Funds, and 0% will be allocated to the Local Counsel Fee Fund</w:t>
      </w:r>
      <w:r w:rsidR="00294327" w:rsidRPr="005457A8">
        <w:rPr>
          <w:rFonts w:cstheme="minorBidi"/>
        </w:rPr>
        <w:t xml:space="preserve">.  </w:t>
      </w:r>
    </w:p>
    <w:p w14:paraId="1693406E" w14:textId="77777777" w:rsidR="00A7465B" w:rsidRPr="005457A8" w:rsidRDefault="00A7465B" w:rsidP="002759B3"/>
    <w:p w14:paraId="1F454572" w14:textId="7E633F92" w:rsidR="007A448C" w:rsidRDefault="00A7465B" w:rsidP="00B407A1">
      <w:pPr>
        <w:rPr>
          <w:rFonts w:cstheme="minorBidi"/>
        </w:rPr>
      </w:pPr>
      <w:r w:rsidRPr="005457A8">
        <w:t xml:space="preserve">Local Counsel release all North Carolina counties and municipalities from any claim regarding the obligation to pay legal fees or costs relating to their </w:t>
      </w:r>
      <w:r w:rsidRPr="005457A8">
        <w:lastRenderedPageBreak/>
        <w:t>representation of North Carolina counties and municipalities regarding opioid claims and litigation</w:t>
      </w:r>
      <w:r w:rsidR="007A448C" w:rsidRPr="005457A8">
        <w:t xml:space="preserve"> against </w:t>
      </w:r>
      <w:r w:rsidR="007B3A89">
        <w:t>the Secondary Opioid Manufacturer Defendants</w:t>
      </w:r>
      <w:r w:rsidR="007A448C" w:rsidRPr="005457A8">
        <w:t>.</w:t>
      </w:r>
      <w:r w:rsidRPr="005457A8">
        <w:t xml:space="preserve">  </w:t>
      </w:r>
      <w:r w:rsidR="00C074AF" w:rsidRPr="005457A8">
        <w:t>Local Counsel</w:t>
      </w:r>
      <w:r w:rsidR="00C074AF" w:rsidRPr="005457A8">
        <w:rPr>
          <w:rFonts w:ascii="Tahoma" w:hAnsi="Tahoma" w:cs="Tahoma"/>
          <w:sz w:val="23"/>
          <w:szCs w:val="23"/>
        </w:rPr>
        <w:t xml:space="preserve"> </w:t>
      </w:r>
      <w:r w:rsidR="00C074AF" w:rsidRPr="005457A8">
        <w:rPr>
          <w:rFonts w:cs="Tahoma"/>
        </w:rPr>
        <w:t xml:space="preserve">retain their rights to </w:t>
      </w:r>
      <w:r w:rsidR="004D4AD9">
        <w:rPr>
          <w:rFonts w:cs="Tahoma"/>
        </w:rPr>
        <w:t xml:space="preserve">recover legal </w:t>
      </w:r>
      <w:r w:rsidR="00C074AF" w:rsidRPr="005457A8">
        <w:rPr>
          <w:rFonts w:cs="Tahoma"/>
        </w:rPr>
        <w:t xml:space="preserve">fees from any </w:t>
      </w:r>
      <w:r w:rsidR="35F177E9" w:rsidRPr="005457A8">
        <w:rPr>
          <w:rFonts w:cs="Tahoma"/>
        </w:rPr>
        <w:t>n</w:t>
      </w:r>
      <w:r w:rsidR="00C074AF" w:rsidRPr="005457A8">
        <w:rPr>
          <w:rFonts w:cs="Tahoma"/>
        </w:rPr>
        <w:t xml:space="preserve">ational </w:t>
      </w:r>
      <w:r w:rsidR="004D4AD9">
        <w:rPr>
          <w:rFonts w:cs="Tahoma"/>
        </w:rPr>
        <w:t xml:space="preserve">legal </w:t>
      </w:r>
      <w:r w:rsidR="0BFE5DFD" w:rsidRPr="005457A8">
        <w:rPr>
          <w:rFonts w:cs="Tahoma"/>
        </w:rPr>
        <w:t>f</w:t>
      </w:r>
      <w:r w:rsidR="00C074AF" w:rsidRPr="005457A8">
        <w:rPr>
          <w:rFonts w:cs="Tahoma"/>
        </w:rPr>
        <w:t xml:space="preserve">ee </w:t>
      </w:r>
      <w:r w:rsidR="150CFAA6" w:rsidRPr="005457A8">
        <w:rPr>
          <w:rFonts w:cs="Tahoma"/>
        </w:rPr>
        <w:t>f</w:t>
      </w:r>
      <w:r w:rsidR="00C074AF" w:rsidRPr="005457A8">
        <w:rPr>
          <w:rFonts w:cs="Tahoma"/>
        </w:rPr>
        <w:t xml:space="preserve">und </w:t>
      </w:r>
      <w:r w:rsidR="004D4AD9">
        <w:rPr>
          <w:rFonts w:cs="Tahoma"/>
        </w:rPr>
        <w:t xml:space="preserve">established by a national settlement and to collect any </w:t>
      </w:r>
      <w:r w:rsidR="00C074AF" w:rsidRPr="005457A8">
        <w:rPr>
          <w:rFonts w:cs="Tahoma"/>
        </w:rPr>
        <w:t>fees due</w:t>
      </w:r>
      <w:r w:rsidR="00C074AF" w:rsidRPr="005457A8">
        <w:t xml:space="preserve"> </w:t>
      </w:r>
      <w:r w:rsidR="004D4AD9">
        <w:t xml:space="preserve">from </w:t>
      </w:r>
      <w:r w:rsidR="007A448C" w:rsidRPr="005457A8">
        <w:rPr>
          <w:rFonts w:cs="Tahoma"/>
        </w:rPr>
        <w:t>N</w:t>
      </w:r>
      <w:r w:rsidR="00C074AF" w:rsidRPr="005457A8">
        <w:rPr>
          <w:rFonts w:cs="Tahoma"/>
        </w:rPr>
        <w:t xml:space="preserve">ational </w:t>
      </w:r>
      <w:r w:rsidR="007A448C" w:rsidRPr="005457A8">
        <w:rPr>
          <w:rFonts w:cs="Tahoma"/>
        </w:rPr>
        <w:t>C</w:t>
      </w:r>
      <w:r w:rsidR="00C074AF" w:rsidRPr="005457A8">
        <w:rPr>
          <w:rFonts w:cs="Tahoma"/>
        </w:rPr>
        <w:t xml:space="preserve">ounsel.  </w:t>
      </w:r>
      <w:r w:rsidR="007A448C" w:rsidRPr="005457A8">
        <w:t xml:space="preserve">If one or more National Counsel </w:t>
      </w:r>
      <w:r w:rsidR="64BC8DE8" w:rsidRPr="005457A8">
        <w:t>fails to</w:t>
      </w:r>
      <w:r w:rsidR="007A448C" w:rsidRPr="005457A8">
        <w:t xml:space="preserve"> release </w:t>
      </w:r>
      <w:r w:rsidR="2E66A135" w:rsidRPr="005457A8">
        <w:t xml:space="preserve">its </w:t>
      </w:r>
      <w:r w:rsidR="007A448C" w:rsidRPr="005457A8">
        <w:t xml:space="preserve">North Carolina </w:t>
      </w:r>
      <w:r w:rsidR="4846EDF0" w:rsidRPr="005457A8">
        <w:t xml:space="preserve">client </w:t>
      </w:r>
      <w:r w:rsidR="007A448C" w:rsidRPr="005457A8">
        <w:t>counties and</w:t>
      </w:r>
      <w:r w:rsidR="27B30AD6" w:rsidRPr="005457A8">
        <w:t>/or</w:t>
      </w:r>
      <w:r w:rsidR="007A448C" w:rsidRPr="005457A8">
        <w:t xml:space="preserve"> municipalities from any </w:t>
      </w:r>
      <w:r w:rsidR="55AB67E8" w:rsidRPr="005457A8">
        <w:t xml:space="preserve">contractual </w:t>
      </w:r>
      <w:r w:rsidR="007A448C" w:rsidRPr="005457A8">
        <w:t xml:space="preserve">obligation to pay legal fees or costs relating to their representation of North Carolina counties and municipalities regarding opioid claims and litigation against </w:t>
      </w:r>
      <w:r w:rsidR="007B3A89">
        <w:t>the Secondary Opioid Manufacturer Defendants</w:t>
      </w:r>
      <w:r w:rsidR="007A448C" w:rsidRPr="005457A8">
        <w:t xml:space="preserve">, </w:t>
      </w:r>
      <w:r w:rsidR="1D3C527F" w:rsidRPr="005457A8">
        <w:t xml:space="preserve">as required for National Counsel and Local Counsel to </w:t>
      </w:r>
      <w:r w:rsidR="13BE0D05" w:rsidRPr="005457A8">
        <w:t xml:space="preserve">receive </w:t>
      </w:r>
      <w:r w:rsidR="22B53337" w:rsidRPr="005457A8">
        <w:t xml:space="preserve">a portion of </w:t>
      </w:r>
      <w:r w:rsidR="1D3C527F" w:rsidRPr="005457A8">
        <w:t xml:space="preserve">the </w:t>
      </w:r>
      <w:r w:rsidR="0A832AE3" w:rsidRPr="005457A8">
        <w:t xml:space="preserve">national </w:t>
      </w:r>
      <w:r w:rsidR="1D3C527F" w:rsidRPr="005457A8">
        <w:t xml:space="preserve">fee funds created by the </w:t>
      </w:r>
      <w:r w:rsidR="007B3A89">
        <w:t>Secondary Opioid Manufacturer</w:t>
      </w:r>
      <w:r w:rsidR="00254DC2">
        <w:t xml:space="preserve"> Settlement</w:t>
      </w:r>
      <w:r w:rsidR="007B3A89">
        <w:t>s</w:t>
      </w:r>
      <w:r w:rsidR="71EC48F1" w:rsidRPr="005457A8">
        <w:t>,</w:t>
      </w:r>
      <w:r w:rsidR="1D3C527F" w:rsidRPr="005457A8">
        <w:t xml:space="preserve"> </w:t>
      </w:r>
      <w:r w:rsidR="007A448C" w:rsidRPr="005457A8">
        <w:t xml:space="preserve">then the </w:t>
      </w:r>
      <w:r w:rsidR="007A448C" w:rsidRPr="005457A8">
        <w:rPr>
          <w:rFonts w:cstheme="minorBidi"/>
        </w:rPr>
        <w:t>0.3</w:t>
      </w:r>
      <w:r w:rsidR="00572F98">
        <w:rPr>
          <w:rFonts w:cstheme="minorBidi"/>
        </w:rPr>
        <w:t>8</w:t>
      </w:r>
      <w:r w:rsidR="007A448C" w:rsidRPr="005457A8">
        <w:rPr>
          <w:rFonts w:cstheme="minorBidi"/>
        </w:rPr>
        <w:t>%</w:t>
      </w:r>
      <w:r w:rsidR="007A448C" w:rsidRPr="005457A8">
        <w:t xml:space="preserve"> share of </w:t>
      </w:r>
      <w:r w:rsidR="00B72C6D">
        <w:rPr>
          <w:rFonts w:cstheme="minorBidi"/>
        </w:rPr>
        <w:t>Secondary Opioid Manufacturer</w:t>
      </w:r>
      <w:r w:rsidR="007A448C" w:rsidRPr="005457A8">
        <w:rPr>
          <w:rFonts w:cstheme="minorBidi"/>
        </w:rPr>
        <w:t xml:space="preserve"> Funds set forth in Section III.B.2 of this </w:t>
      </w:r>
      <w:r w:rsidR="00502CAB">
        <w:rPr>
          <w:rFonts w:cstheme="minorBidi"/>
        </w:rPr>
        <w:t>SAAF-</w:t>
      </w:r>
      <w:r w:rsidR="007B3A89">
        <w:rPr>
          <w:rFonts w:cstheme="minorBidi"/>
        </w:rPr>
        <w:t>3</w:t>
      </w:r>
      <w:r w:rsidR="007A448C" w:rsidRPr="005457A8">
        <w:rPr>
          <w:rFonts w:cstheme="minorBidi"/>
        </w:rPr>
        <w:t xml:space="preserve"> for </w:t>
      </w:r>
      <w:r w:rsidR="007A448C" w:rsidRPr="005457A8">
        <w:t xml:space="preserve">the Local Counsel Fee Fund shall be </w:t>
      </w:r>
      <w:r w:rsidR="007A448C" w:rsidRPr="005457A8">
        <w:rPr>
          <w:rFonts w:cstheme="minorBidi"/>
        </w:rPr>
        <w:t>included in</w:t>
      </w:r>
      <w:r w:rsidR="007A448C" w:rsidRPr="005457A8">
        <w:t xml:space="preserve"> the Local </w:t>
      </w:r>
      <w:r w:rsidR="007B3A89">
        <w:t>Secondary Opioid Manufacturer</w:t>
      </w:r>
      <w:r w:rsidR="00254DC2" w:rsidRPr="005457A8">
        <w:t xml:space="preserve"> </w:t>
      </w:r>
      <w:r w:rsidR="007A448C" w:rsidRPr="005457A8">
        <w:t>Abatement Funds</w:t>
      </w:r>
      <w:r w:rsidR="007A448C" w:rsidRPr="005457A8">
        <w:rPr>
          <w:rFonts w:cstheme="minorBidi"/>
        </w:rPr>
        <w:t xml:space="preserve">, such that 85% of the </w:t>
      </w:r>
      <w:r w:rsidR="007B3A89">
        <w:rPr>
          <w:rFonts w:cstheme="minorBidi"/>
        </w:rPr>
        <w:t>Secondary Opioid Manufacturer</w:t>
      </w:r>
      <w:r w:rsidR="007A448C" w:rsidRPr="005457A8">
        <w:rPr>
          <w:rFonts w:cstheme="minorBidi"/>
        </w:rPr>
        <w:t xml:space="preserve"> Funds will be allocated to Local </w:t>
      </w:r>
      <w:r w:rsidR="00562B10">
        <w:rPr>
          <w:rFonts w:cstheme="minorBidi"/>
        </w:rPr>
        <w:t>Secondary Opioid Manufacturer</w:t>
      </w:r>
      <w:r w:rsidR="00254DC2" w:rsidRPr="005457A8">
        <w:rPr>
          <w:rFonts w:cstheme="minorBidi"/>
        </w:rPr>
        <w:t xml:space="preserve"> </w:t>
      </w:r>
      <w:r w:rsidR="007A448C" w:rsidRPr="005457A8">
        <w:rPr>
          <w:rFonts w:cstheme="minorBidi"/>
        </w:rPr>
        <w:t xml:space="preserve">Abatement Funds, and 0% will be allocated to the Local Counsel Fee Fund.  </w:t>
      </w:r>
    </w:p>
    <w:p w14:paraId="54968CD7" w14:textId="2EA5F48A" w:rsidR="00572F98" w:rsidRDefault="00572F98" w:rsidP="00B407A1">
      <w:pPr>
        <w:rPr>
          <w:rFonts w:cstheme="minorBidi"/>
        </w:rPr>
      </w:pPr>
    </w:p>
    <w:p w14:paraId="3C9DC103" w14:textId="2CD43F2C" w:rsidR="00036BBF" w:rsidRDefault="00392FF8" w:rsidP="00B407A1">
      <w:pPr>
        <w:rPr>
          <w:rFonts w:cstheme="minorBidi"/>
        </w:rPr>
      </w:pPr>
      <w:r>
        <w:rPr>
          <w:rFonts w:cstheme="minorBidi"/>
        </w:rPr>
        <w:t>T</w:t>
      </w:r>
      <w:r w:rsidR="00036BBF" w:rsidRPr="00036BBF">
        <w:rPr>
          <w:rFonts w:cstheme="minorBidi"/>
        </w:rPr>
        <w:t>he proportion of the Local Counsel Fee Fund to be received by each Local Counsel</w:t>
      </w:r>
      <w:r>
        <w:rPr>
          <w:rFonts w:cstheme="minorBidi"/>
        </w:rPr>
        <w:t xml:space="preserve"> will be the same as for the Local Counsel Fee Fund created by the SAAF</w:t>
      </w:r>
      <w:r w:rsidR="00562B10">
        <w:rPr>
          <w:rFonts w:cstheme="minorBidi"/>
        </w:rPr>
        <w:t xml:space="preserve"> and the SAAF-2</w:t>
      </w:r>
      <w:r w:rsidR="00036BBF" w:rsidRPr="00036BBF">
        <w:rPr>
          <w:rFonts w:cstheme="minorBidi"/>
        </w:rPr>
        <w:t>.  Each Local Counsel’s release of claims against all North Carolina counties and municipalities as provided above shall remain in full force and effect regardless of the proportion of the Local Counsel</w:t>
      </w:r>
      <w:r w:rsidR="00036BBF">
        <w:rPr>
          <w:rFonts w:cstheme="minorBidi"/>
        </w:rPr>
        <w:t xml:space="preserve"> </w:t>
      </w:r>
      <w:r w:rsidR="00036BBF" w:rsidRPr="00036BBF">
        <w:rPr>
          <w:rFonts w:cstheme="minorBidi"/>
        </w:rPr>
        <w:t>Fee Fund that any Local Counsel receives.</w:t>
      </w:r>
    </w:p>
    <w:p w14:paraId="515D4BC9" w14:textId="03313AEF" w:rsidR="00324874" w:rsidRDefault="00324874">
      <w:pPr>
        <w:rPr>
          <w:rFonts w:cstheme="minorBidi"/>
        </w:rPr>
      </w:pPr>
      <w:r>
        <w:rPr>
          <w:rFonts w:cstheme="minorBidi"/>
        </w:rPr>
        <w:br w:type="page"/>
      </w:r>
    </w:p>
    <w:p w14:paraId="00E7871E" w14:textId="408AC631" w:rsidR="00036BBF" w:rsidRDefault="00036BBF" w:rsidP="00B407A1">
      <w:r w:rsidRPr="00036BBF">
        <w:rPr>
          <w:rFonts w:cstheme="minorBidi"/>
          <w:b/>
          <w:bCs/>
        </w:rPr>
        <w:lastRenderedPageBreak/>
        <w:t>IN WITNESS WHEREOF</w:t>
      </w:r>
      <w:r>
        <w:rPr>
          <w:rFonts w:cstheme="minorBidi"/>
        </w:rPr>
        <w:t xml:space="preserve">, the parties, through their duly authorized officers, have executed this </w:t>
      </w:r>
      <w:r w:rsidR="00562B10">
        <w:rPr>
          <w:rFonts w:cstheme="minorBidi"/>
        </w:rPr>
        <w:t>Third</w:t>
      </w:r>
      <w:r w:rsidR="00D17BA1">
        <w:rPr>
          <w:rFonts w:cstheme="minorBidi"/>
        </w:rPr>
        <w:t xml:space="preserve"> </w:t>
      </w:r>
      <w:r w:rsidRPr="005457A8">
        <w:t xml:space="preserve">Supplemental </w:t>
      </w:r>
      <w:r w:rsidRPr="005457A8">
        <w:rPr>
          <w:rFonts w:cstheme="minorHAnsi"/>
        </w:rPr>
        <w:t>Agreement</w:t>
      </w:r>
      <w:r w:rsidRPr="005457A8">
        <w:t xml:space="preserve"> for Additional Fund</w:t>
      </w:r>
      <w:r>
        <w:t>s under seal as of the date hereof.</w:t>
      </w:r>
    </w:p>
    <w:p w14:paraId="5731B32E" w14:textId="28B3C181" w:rsidR="00036BBF" w:rsidRDefault="00036BBF" w:rsidP="00B407A1"/>
    <w:p w14:paraId="13134AE2" w14:textId="775F7E5C" w:rsidR="00036BBF" w:rsidRDefault="00036BBF" w:rsidP="00B407A1">
      <w:r>
        <w:t>By:</w:t>
      </w:r>
      <w:commentRangeStart w:id="3"/>
      <w:r>
        <w:t xml:space="preserve"> _____________________________________</w:t>
      </w:r>
      <w:commentRangeEnd w:id="3"/>
      <w:r>
        <w:rPr>
          <w:rStyle w:val="CommentReference"/>
          <w:rFonts w:asciiTheme="minorHAnsi" w:hAnsiTheme="minorHAnsi" w:cstheme="minorBidi"/>
          <w:color w:val="auto"/>
        </w:rPr>
        <w:commentReference w:id="3"/>
      </w:r>
    </w:p>
    <w:p w14:paraId="30D76B20" w14:textId="5216F9AC" w:rsidR="00036BBF" w:rsidRDefault="00036BBF" w:rsidP="00B407A1">
      <w:commentRangeStart w:id="4"/>
      <w:r>
        <w:t>Name: __________________________________</w:t>
      </w:r>
    </w:p>
    <w:p w14:paraId="70B0F58C" w14:textId="45CE005E" w:rsidR="00036BBF" w:rsidRDefault="00036BBF" w:rsidP="00B407A1">
      <w:r>
        <w:t>Title: ___________________________________</w:t>
      </w:r>
    </w:p>
    <w:p w14:paraId="1930F05C" w14:textId="69B29A12" w:rsidR="00036BBF" w:rsidRDefault="00036BBF" w:rsidP="00B407A1">
      <w:r>
        <w:t>County/City/Town of _____________________</w:t>
      </w:r>
    </w:p>
    <w:p w14:paraId="209E11F8" w14:textId="4B806F0C" w:rsidR="00036BBF" w:rsidRPr="005457A8" w:rsidRDefault="00036BBF" w:rsidP="00B407A1">
      <w:pPr>
        <w:rPr>
          <w:rFonts w:cs="Tahoma"/>
        </w:rPr>
      </w:pPr>
      <w:r>
        <w:t>Date: ___________________________________</w:t>
      </w:r>
      <w:commentRangeEnd w:id="4"/>
      <w:r>
        <w:rPr>
          <w:rStyle w:val="CommentReference"/>
          <w:rFonts w:asciiTheme="minorHAnsi" w:hAnsiTheme="minorHAnsi" w:cstheme="minorBidi"/>
          <w:color w:val="auto"/>
        </w:rPr>
        <w:commentReference w:id="4"/>
      </w:r>
    </w:p>
    <w:p w14:paraId="2A26D722" w14:textId="349FE388" w:rsidR="00A7465B" w:rsidRPr="005457A8" w:rsidRDefault="00A7465B" w:rsidP="00147952">
      <w:pPr>
        <w:rPr>
          <w:rFonts w:ascii="Tahoma" w:hAnsi="Tahoma" w:cs="Tahoma"/>
          <w:sz w:val="23"/>
          <w:szCs w:val="23"/>
        </w:rPr>
      </w:pPr>
    </w:p>
    <w:p w14:paraId="49D15CDC" w14:textId="77777777" w:rsidR="007575FD" w:rsidRPr="002759B3" w:rsidRDefault="007575FD" w:rsidP="00567D2E">
      <w:pPr>
        <w:rPr>
          <w:rFonts w:ascii="Tahoma" w:hAnsi="Tahoma"/>
          <w:sz w:val="23"/>
        </w:rPr>
      </w:pPr>
    </w:p>
    <w:sectPr w:rsidR="007575FD" w:rsidRPr="002759B3" w:rsidSect="00E86B7C">
      <w:headerReference w:type="default" r:id="rId15"/>
      <w:footerReference w:type="default" r:id="rId16"/>
      <w:headerReference w:type="first" r:id="rId17"/>
      <w:footerReference w:type="first" r:id="rId18"/>
      <w:pgSz w:w="12240" w:h="15840" w:code="1"/>
      <w:pgMar w:top="1080" w:right="1440" w:bottom="1080"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osteller, Daniel" w:date="2023-02-11T11:09:00Z" w:initials="MD">
    <w:p w14:paraId="50F1EF26" w14:textId="690F15F2" w:rsidR="00036BBF" w:rsidRDefault="00036BBF">
      <w:pPr>
        <w:pStyle w:val="CommentText"/>
      </w:pPr>
      <w:r>
        <w:rPr>
          <w:rStyle w:val="CommentReference"/>
        </w:rPr>
        <w:annotationRef/>
      </w:r>
      <w:r>
        <w:t>DocuSign signature goes here</w:t>
      </w:r>
    </w:p>
  </w:comment>
  <w:comment w:id="4" w:author="Mosteller, Daniel" w:date="2023-02-11T11:10:00Z" w:initials="MD">
    <w:p w14:paraId="02C9E3FF" w14:textId="42FA3F55" w:rsidR="00036BBF" w:rsidRDefault="00036BBF">
      <w:pPr>
        <w:pStyle w:val="CommentText"/>
      </w:pPr>
      <w:r>
        <w:rPr>
          <w:rStyle w:val="CommentReference"/>
        </w:rPr>
        <w:t>Blanks to be completed</w:t>
      </w:r>
      <w:r>
        <w:rPr>
          <w:rStyle w:val="CommentReference"/>
        </w:rPr>
        <w:annotationRef/>
      </w:r>
      <w:r>
        <w:rPr>
          <w:rStyle w:val="CommentReference"/>
        </w:rPr>
        <w:t>.through DocuSign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F1EF26" w15:done="0"/>
  <w15:commentEx w15:paraId="02C9E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91F600" w16cex:dateUtc="2023-02-11T16:09:00Z"/>
  <w16cex:commentExtensible w16cex:durableId="2791F626" w16cex:dateUtc="2023-02-11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F1EF26" w16cid:durableId="2791F600"/>
  <w16cid:commentId w16cid:paraId="02C9E3FF" w16cid:durableId="2791F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50170" w14:textId="77777777" w:rsidR="00567D2E" w:rsidRDefault="00567D2E" w:rsidP="00567D2E">
      <w:r>
        <w:separator/>
      </w:r>
    </w:p>
  </w:endnote>
  <w:endnote w:type="continuationSeparator" w:id="0">
    <w:p w14:paraId="4BFEA64A" w14:textId="77777777" w:rsidR="00567D2E" w:rsidRDefault="00567D2E" w:rsidP="00567D2E">
      <w:r>
        <w:continuationSeparator/>
      </w:r>
    </w:p>
  </w:endnote>
  <w:endnote w:type="continuationNotice" w:id="1">
    <w:p w14:paraId="7668F8A5" w14:textId="77777777" w:rsidR="00567D2E" w:rsidRDefault="00567D2E" w:rsidP="00567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754435"/>
      <w:docPartObj>
        <w:docPartGallery w:val="Page Numbers (Bottom of Page)"/>
        <w:docPartUnique/>
      </w:docPartObj>
    </w:sdtPr>
    <w:sdtEndPr>
      <w:rPr>
        <w:noProof/>
      </w:rPr>
    </w:sdtEndPr>
    <w:sdtContent>
      <w:p w14:paraId="20930645" w14:textId="3DE676B3" w:rsidR="007575FD" w:rsidRDefault="007575FD">
        <w:pPr>
          <w:pStyle w:val="Footer"/>
          <w:jc w:val="center"/>
        </w:pPr>
        <w:r>
          <w:fldChar w:fldCharType="begin"/>
        </w:r>
        <w:r>
          <w:instrText xml:space="preserve"> PAGE   \* MERGEFORMAT </w:instrText>
        </w:r>
        <w:r>
          <w:fldChar w:fldCharType="separate"/>
        </w:r>
        <w:r w:rsidR="00C5388B">
          <w:rPr>
            <w:noProof/>
          </w:rPr>
          <w:t>2</w:t>
        </w:r>
        <w:r>
          <w:rPr>
            <w:noProof/>
          </w:rPr>
          <w:fldChar w:fldCharType="end"/>
        </w:r>
      </w:p>
    </w:sdtContent>
  </w:sdt>
  <w:p w14:paraId="43644E0C" w14:textId="77777777" w:rsidR="007575FD" w:rsidRDefault="0075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47A2" w14:textId="77777777" w:rsidR="004A7F57" w:rsidRDefault="004A7F57">
    <w:pPr>
      <w:pStyle w:val="Footer"/>
      <w:jc w:val="center"/>
    </w:pPr>
  </w:p>
  <w:p w14:paraId="446DD882" w14:textId="77777777" w:rsidR="004A7F57" w:rsidRDefault="004A7F57">
    <w:pPr>
      <w:pStyle w:val="Footer"/>
      <w:jc w:val="center"/>
    </w:pPr>
  </w:p>
  <w:p w14:paraId="4517D814" w14:textId="6589F564" w:rsidR="004A7F57" w:rsidRDefault="004A7F57">
    <w:pPr>
      <w:pStyle w:val="Footer"/>
      <w:jc w:val="center"/>
    </w:pPr>
    <w:r>
      <w:fldChar w:fldCharType="begin"/>
    </w:r>
    <w:r>
      <w:instrText xml:space="preserve"> PAGE   \* MERGEFORMAT </w:instrText>
    </w:r>
    <w:r>
      <w:fldChar w:fldCharType="separate"/>
    </w:r>
    <w:r w:rsidR="00C5388B">
      <w:rPr>
        <w:noProof/>
      </w:rPr>
      <w:t>1</w:t>
    </w:r>
    <w:r>
      <w:rPr>
        <w:noProof/>
      </w:rPr>
      <w:fldChar w:fldCharType="end"/>
    </w:r>
  </w:p>
  <w:p w14:paraId="3EC963D6" w14:textId="77777777" w:rsidR="004A7F57" w:rsidRDefault="004A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7DF2C" w14:textId="77777777" w:rsidR="00567D2E" w:rsidRDefault="00567D2E" w:rsidP="00567D2E">
      <w:r>
        <w:separator/>
      </w:r>
    </w:p>
  </w:footnote>
  <w:footnote w:type="continuationSeparator" w:id="0">
    <w:p w14:paraId="4A474DBF" w14:textId="77777777" w:rsidR="00567D2E" w:rsidRDefault="00567D2E" w:rsidP="00567D2E">
      <w:r>
        <w:continuationSeparator/>
      </w:r>
    </w:p>
  </w:footnote>
  <w:footnote w:type="continuationNotice" w:id="1">
    <w:p w14:paraId="60E0669D" w14:textId="77777777" w:rsidR="00567D2E" w:rsidRDefault="00567D2E" w:rsidP="00567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BB69" w14:textId="2BE84427" w:rsidR="00567D2E" w:rsidRDefault="00567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7650" w14:textId="559A835F" w:rsidR="009931BD" w:rsidRDefault="009931BD">
    <w:pPr>
      <w:pStyle w:val="Header"/>
    </w:pPr>
  </w:p>
  <w:p w14:paraId="66341078" w14:textId="77777777" w:rsidR="003010C2" w:rsidRDefault="00301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919"/>
    <w:multiLevelType w:val="hybridMultilevel"/>
    <w:tmpl w:val="C58AFAC6"/>
    <w:lvl w:ilvl="0" w:tplc="6C5A3F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D78E8"/>
    <w:multiLevelType w:val="hybridMultilevel"/>
    <w:tmpl w:val="9B268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06FC4"/>
    <w:multiLevelType w:val="hybridMultilevel"/>
    <w:tmpl w:val="9CEC95CC"/>
    <w:lvl w:ilvl="0" w:tplc="F19EEB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33050F"/>
    <w:multiLevelType w:val="hybridMultilevel"/>
    <w:tmpl w:val="19E0FA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0FC4"/>
    <w:multiLevelType w:val="hybridMultilevel"/>
    <w:tmpl w:val="DC902FAA"/>
    <w:lvl w:ilvl="0" w:tplc="C9D44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DA7A16"/>
    <w:multiLevelType w:val="multilevel"/>
    <w:tmpl w:val="D9BA5FE6"/>
    <w:lvl w:ilvl="0">
      <w:start w:val="3"/>
      <w:numFmt w:val="decimal"/>
      <w:lvlText w:val="%1."/>
      <w:lvlJc w:val="left"/>
      <w:pPr>
        <w:tabs>
          <w:tab w:val="left" w:pos="360"/>
        </w:tabs>
      </w:pPr>
      <w:rPr>
        <w:rFonts w:ascii="Tahoma" w:eastAsia="Tahoma" w:hAnsi="Tahoma"/>
        <w:color w:val="000000"/>
        <w:spacing w:val="1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54C6C"/>
    <w:multiLevelType w:val="hybridMultilevel"/>
    <w:tmpl w:val="CC4E479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160E8"/>
    <w:multiLevelType w:val="hybridMultilevel"/>
    <w:tmpl w:val="A8545252"/>
    <w:lvl w:ilvl="0" w:tplc="16369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E06647"/>
    <w:multiLevelType w:val="hybridMultilevel"/>
    <w:tmpl w:val="3EB64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D5B2E"/>
    <w:multiLevelType w:val="hybridMultilevel"/>
    <w:tmpl w:val="0AE8C05A"/>
    <w:lvl w:ilvl="0" w:tplc="9794AB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F8519B"/>
    <w:multiLevelType w:val="hybridMultilevel"/>
    <w:tmpl w:val="8D7C528E"/>
    <w:lvl w:ilvl="0" w:tplc="751C3158">
      <w:start w:val="1"/>
      <w:numFmt w:val="upperRoman"/>
      <w:lvlText w:val="%1."/>
      <w:lvlJc w:val="left"/>
      <w:pPr>
        <w:ind w:left="1080" w:hanging="720"/>
      </w:pPr>
      <w:rPr>
        <w:rFonts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257F1"/>
    <w:multiLevelType w:val="hybridMultilevel"/>
    <w:tmpl w:val="F7FC05C2"/>
    <w:lvl w:ilvl="0" w:tplc="26BA32FE">
      <w:start w:val="1"/>
      <w:numFmt w:val="upperLetter"/>
      <w:lvlText w:val="%1."/>
      <w:lvlJc w:val="left"/>
      <w:pPr>
        <w:ind w:left="720" w:hanging="360"/>
      </w:pPr>
      <w:rPr>
        <w:rFonts w:hint="default"/>
        <w:b w:val="0"/>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97873"/>
    <w:multiLevelType w:val="hybridMultilevel"/>
    <w:tmpl w:val="70E8E514"/>
    <w:lvl w:ilvl="0" w:tplc="AB266D7E">
      <w:start w:val="3"/>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0045E"/>
    <w:multiLevelType w:val="hybridMultilevel"/>
    <w:tmpl w:val="956E264A"/>
    <w:lvl w:ilvl="0" w:tplc="8EC0E4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11345B"/>
    <w:multiLevelType w:val="hybridMultilevel"/>
    <w:tmpl w:val="97180DF0"/>
    <w:lvl w:ilvl="0" w:tplc="D0087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1D4E88"/>
    <w:multiLevelType w:val="hybridMultilevel"/>
    <w:tmpl w:val="8724D3EA"/>
    <w:lvl w:ilvl="0" w:tplc="C1D6D8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6D6D6D"/>
    <w:multiLevelType w:val="hybridMultilevel"/>
    <w:tmpl w:val="B740CA72"/>
    <w:lvl w:ilvl="0" w:tplc="B6AEB4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921F69"/>
    <w:multiLevelType w:val="hybridMultilevel"/>
    <w:tmpl w:val="EB826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F4475"/>
    <w:multiLevelType w:val="multilevel"/>
    <w:tmpl w:val="DB9A1AF8"/>
    <w:lvl w:ilvl="0">
      <w:start w:val="1"/>
      <w:numFmt w:val="decimal"/>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4A60DF"/>
    <w:multiLevelType w:val="multilevel"/>
    <w:tmpl w:val="309C1610"/>
    <w:lvl w:ilvl="0">
      <w:start w:val="9"/>
      <w:numFmt w:val="decimal"/>
      <w:lvlText w:val="%1."/>
      <w:lvlJc w:val="left"/>
      <w:pPr>
        <w:tabs>
          <w:tab w:val="left" w:pos="360"/>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877EA"/>
    <w:multiLevelType w:val="hybridMultilevel"/>
    <w:tmpl w:val="51ACCB40"/>
    <w:lvl w:ilvl="0" w:tplc="C58E719E">
      <w:start w:val="1"/>
      <w:numFmt w:val="decimal"/>
      <w:lvlRestart w:val="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A25B1C"/>
    <w:multiLevelType w:val="hybridMultilevel"/>
    <w:tmpl w:val="9E524476"/>
    <w:lvl w:ilvl="0" w:tplc="C7F23716">
      <w:start w:val="1"/>
      <w:numFmt w:val="upperRoman"/>
      <w:lvlText w:val="%1."/>
      <w:lvlJc w:val="left"/>
      <w:pPr>
        <w:ind w:left="1080" w:hanging="720"/>
      </w:pPr>
      <w:rPr>
        <w:rFonts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225B9"/>
    <w:multiLevelType w:val="hybridMultilevel"/>
    <w:tmpl w:val="FDAAF15C"/>
    <w:lvl w:ilvl="0" w:tplc="286290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54EA5"/>
    <w:multiLevelType w:val="hybridMultilevel"/>
    <w:tmpl w:val="D19863F8"/>
    <w:lvl w:ilvl="0" w:tplc="DD743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FD1BE9"/>
    <w:multiLevelType w:val="hybridMultilevel"/>
    <w:tmpl w:val="DE3C1DAA"/>
    <w:lvl w:ilvl="0" w:tplc="DBCEE836">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0531E"/>
    <w:multiLevelType w:val="hybridMultilevel"/>
    <w:tmpl w:val="B4247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33CCF"/>
    <w:multiLevelType w:val="hybridMultilevel"/>
    <w:tmpl w:val="5A10A846"/>
    <w:lvl w:ilvl="0" w:tplc="7674B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F51F97"/>
    <w:multiLevelType w:val="hybridMultilevel"/>
    <w:tmpl w:val="03AAFAD0"/>
    <w:lvl w:ilvl="0" w:tplc="2C60D36A">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C332D2A"/>
    <w:multiLevelType w:val="hybridMultilevel"/>
    <w:tmpl w:val="D2A6DBD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C02F6"/>
    <w:multiLevelType w:val="hybridMultilevel"/>
    <w:tmpl w:val="FBA6A19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5E9328C"/>
    <w:multiLevelType w:val="hybridMultilevel"/>
    <w:tmpl w:val="D19AA08C"/>
    <w:lvl w:ilvl="0" w:tplc="96B29ED6">
      <w:start w:val="4"/>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F751F"/>
    <w:multiLevelType w:val="hybridMultilevel"/>
    <w:tmpl w:val="FE7ED218"/>
    <w:lvl w:ilvl="0" w:tplc="F1085338">
      <w:start w:val="1"/>
      <w:numFmt w:val="upperRoman"/>
      <w:lvlText w:val="%1."/>
      <w:lvlJc w:val="left"/>
      <w:pPr>
        <w:ind w:left="1080" w:hanging="720"/>
      </w:pPr>
      <w:rPr>
        <w:rFonts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E3ECD"/>
    <w:multiLevelType w:val="multilevel"/>
    <w:tmpl w:val="761200A0"/>
    <w:name w:val=" WS Numbering Scheme"/>
    <w:lvl w:ilvl="0">
      <w:start w:val="1"/>
      <w:numFmt w:val="decimal"/>
      <w:pStyle w:val="Heading1"/>
      <w:lvlText w:val="%1."/>
      <w:lvlJc w:val="left"/>
      <w:pPr>
        <w:tabs>
          <w:tab w:val="num" w:pos="1440"/>
        </w:tabs>
        <w:ind w:left="1440" w:hanging="720"/>
      </w:pPr>
      <w:rPr>
        <w:caps w:val="0"/>
        <w:color w:val="010000"/>
        <w:u w:val="none"/>
      </w:rPr>
    </w:lvl>
    <w:lvl w:ilvl="1">
      <w:start w:val="1"/>
      <w:numFmt w:val="lowerLetter"/>
      <w:pStyle w:val="Heading2"/>
      <w:lvlText w:val="%2."/>
      <w:lvlJc w:val="left"/>
      <w:pPr>
        <w:tabs>
          <w:tab w:val="num" w:pos="2160"/>
        </w:tabs>
        <w:ind w:left="2160" w:hanging="720"/>
      </w:pPr>
      <w:rPr>
        <w:caps w:val="0"/>
        <w:color w:val="010000"/>
        <w:u w:val="none"/>
      </w:rPr>
    </w:lvl>
    <w:lvl w:ilvl="2">
      <w:start w:val="1"/>
      <w:numFmt w:val="lowerRoman"/>
      <w:pStyle w:val="Heading3"/>
      <w:lvlText w:val="%3."/>
      <w:lvlJc w:val="left"/>
      <w:pPr>
        <w:tabs>
          <w:tab w:val="num" w:pos="2880"/>
        </w:tabs>
        <w:ind w:left="2880" w:hanging="720"/>
      </w:pPr>
      <w:rPr>
        <w:caps w:val="0"/>
        <w:color w:val="010000"/>
        <w:u w:val="none"/>
      </w:rPr>
    </w:lvl>
    <w:lvl w:ilvl="3">
      <w:start w:val="1"/>
      <w:numFmt w:val="decimal"/>
      <w:pStyle w:val="Heading4"/>
      <w:lvlText w:val="(%4)"/>
      <w:lvlJc w:val="left"/>
      <w:pPr>
        <w:tabs>
          <w:tab w:val="num" w:pos="3600"/>
        </w:tabs>
        <w:ind w:left="3600" w:hanging="720"/>
      </w:pPr>
      <w:rPr>
        <w:caps w:val="0"/>
        <w:color w:val="010000"/>
        <w:u w:val="none"/>
      </w:rPr>
    </w:lvl>
    <w:lvl w:ilvl="4">
      <w:start w:val="1"/>
      <w:numFmt w:val="lowerLetter"/>
      <w:pStyle w:val="Heading5"/>
      <w:lvlText w:val="(%5)"/>
      <w:lvlJc w:val="left"/>
      <w:pPr>
        <w:tabs>
          <w:tab w:val="num" w:pos="4320"/>
        </w:tabs>
        <w:ind w:left="4320" w:hanging="720"/>
      </w:pPr>
      <w:rPr>
        <w:caps w:val="0"/>
        <w:color w:val="010000"/>
        <w:u w:val="none"/>
      </w:rPr>
    </w:lvl>
    <w:lvl w:ilvl="5">
      <w:start w:val="1"/>
      <w:numFmt w:val="lowerRoman"/>
      <w:pStyle w:val="Heading6"/>
      <w:lvlText w:val="(%6)"/>
      <w:lvlJc w:val="left"/>
      <w:pPr>
        <w:tabs>
          <w:tab w:val="num" w:pos="5040"/>
        </w:tabs>
        <w:ind w:left="5040" w:hanging="720"/>
      </w:pPr>
      <w:rPr>
        <w:caps w:val="0"/>
        <w:color w:val="010000"/>
        <w:u w:val="none"/>
      </w:rPr>
    </w:lvl>
    <w:lvl w:ilvl="6">
      <w:start w:val="1"/>
      <w:numFmt w:val="decimal"/>
      <w:pStyle w:val="Heading7"/>
      <w:lvlText w:val="%7."/>
      <w:lvlJc w:val="left"/>
      <w:pPr>
        <w:tabs>
          <w:tab w:val="num" w:pos="5760"/>
        </w:tabs>
        <w:ind w:left="5760" w:hanging="720"/>
      </w:pPr>
      <w:rPr>
        <w:caps w:val="0"/>
        <w:color w:val="010000"/>
        <w:u w:val="none"/>
      </w:rPr>
    </w:lvl>
    <w:lvl w:ilvl="7">
      <w:start w:val="1"/>
      <w:numFmt w:val="lowerLetter"/>
      <w:pStyle w:val="Heading8"/>
      <w:lvlText w:val="%8."/>
      <w:lvlJc w:val="left"/>
      <w:pPr>
        <w:tabs>
          <w:tab w:val="num" w:pos="6480"/>
        </w:tabs>
        <w:ind w:left="6480" w:hanging="720"/>
      </w:pPr>
      <w:rPr>
        <w:caps w:val="0"/>
        <w:color w:val="010000"/>
        <w:u w:val="none"/>
      </w:rPr>
    </w:lvl>
    <w:lvl w:ilvl="8">
      <w:start w:val="1"/>
      <w:numFmt w:val="lowerRoman"/>
      <w:pStyle w:val="Heading9"/>
      <w:lvlText w:val="%9."/>
      <w:lvlJc w:val="left"/>
      <w:pPr>
        <w:tabs>
          <w:tab w:val="num" w:pos="7200"/>
        </w:tabs>
        <w:ind w:left="7200" w:hanging="720"/>
      </w:pPr>
      <w:rPr>
        <w:caps w:val="0"/>
        <w:color w:val="010000"/>
        <w:u w:val="none"/>
      </w:rPr>
    </w:lvl>
  </w:abstractNum>
  <w:abstractNum w:abstractNumId="33" w15:restartNumberingAfterBreak="0">
    <w:nsid w:val="7EFA23E2"/>
    <w:multiLevelType w:val="hybridMultilevel"/>
    <w:tmpl w:val="ABD23260"/>
    <w:lvl w:ilvl="0" w:tplc="86503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983648"/>
    <w:multiLevelType w:val="multilevel"/>
    <w:tmpl w:val="4B824650"/>
    <w:lvl w:ilvl="0">
      <w:start w:val="2"/>
      <w:numFmt w:val="lowerLetter"/>
      <w:lvlText w:val="%1."/>
      <w:lvlJc w:val="left"/>
      <w:pPr>
        <w:tabs>
          <w:tab w:val="left" w:pos="360"/>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F95B29"/>
    <w:multiLevelType w:val="hybridMultilevel"/>
    <w:tmpl w:val="CD6EA95A"/>
    <w:lvl w:ilvl="0" w:tplc="B5C836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4016295">
    <w:abstractNumId w:val="32"/>
  </w:num>
  <w:num w:numId="2" w16cid:durableId="891035879">
    <w:abstractNumId w:val="10"/>
  </w:num>
  <w:num w:numId="3" w16cid:durableId="945573758">
    <w:abstractNumId w:val="31"/>
  </w:num>
  <w:num w:numId="4" w16cid:durableId="1917090218">
    <w:abstractNumId w:val="21"/>
  </w:num>
  <w:num w:numId="5" w16cid:durableId="1778062793">
    <w:abstractNumId w:val="15"/>
  </w:num>
  <w:num w:numId="6" w16cid:durableId="627931402">
    <w:abstractNumId w:val="16"/>
  </w:num>
  <w:num w:numId="7" w16cid:durableId="408965271">
    <w:abstractNumId w:val="26"/>
  </w:num>
  <w:num w:numId="8" w16cid:durableId="835612534">
    <w:abstractNumId w:val="27"/>
  </w:num>
  <w:num w:numId="9" w16cid:durableId="1255436073">
    <w:abstractNumId w:val="2"/>
  </w:num>
  <w:num w:numId="10" w16cid:durableId="442115308">
    <w:abstractNumId w:val="18"/>
  </w:num>
  <w:num w:numId="11" w16cid:durableId="1813984331">
    <w:abstractNumId w:val="34"/>
  </w:num>
  <w:num w:numId="12" w16cid:durableId="1205606758">
    <w:abstractNumId w:val="5"/>
  </w:num>
  <w:num w:numId="13" w16cid:durableId="1852061688">
    <w:abstractNumId w:val="19"/>
  </w:num>
  <w:num w:numId="14" w16cid:durableId="1439182593">
    <w:abstractNumId w:val="20"/>
  </w:num>
  <w:num w:numId="15" w16cid:durableId="1265111547">
    <w:abstractNumId w:val="14"/>
  </w:num>
  <w:num w:numId="16" w16cid:durableId="910115652">
    <w:abstractNumId w:val="0"/>
  </w:num>
  <w:num w:numId="17" w16cid:durableId="120342413">
    <w:abstractNumId w:val="9"/>
  </w:num>
  <w:num w:numId="18" w16cid:durableId="722563380">
    <w:abstractNumId w:val="7"/>
  </w:num>
  <w:num w:numId="19" w16cid:durableId="687876452">
    <w:abstractNumId w:val="4"/>
  </w:num>
  <w:num w:numId="20" w16cid:durableId="1417825330">
    <w:abstractNumId w:val="13"/>
  </w:num>
  <w:num w:numId="21" w16cid:durableId="1843734884">
    <w:abstractNumId w:val="35"/>
  </w:num>
  <w:num w:numId="22" w16cid:durableId="1694963205">
    <w:abstractNumId w:val="33"/>
  </w:num>
  <w:num w:numId="23" w16cid:durableId="1840848875">
    <w:abstractNumId w:val="23"/>
  </w:num>
  <w:num w:numId="24" w16cid:durableId="1484076641">
    <w:abstractNumId w:val="22"/>
  </w:num>
  <w:num w:numId="25" w16cid:durableId="1074745319">
    <w:abstractNumId w:val="11"/>
  </w:num>
  <w:num w:numId="26" w16cid:durableId="752552687">
    <w:abstractNumId w:val="3"/>
  </w:num>
  <w:num w:numId="27" w16cid:durableId="1289972314">
    <w:abstractNumId w:val="17"/>
  </w:num>
  <w:num w:numId="28" w16cid:durableId="1583249406">
    <w:abstractNumId w:val="25"/>
  </w:num>
  <w:num w:numId="29" w16cid:durableId="303244208">
    <w:abstractNumId w:val="29"/>
  </w:num>
  <w:num w:numId="30" w16cid:durableId="1525292016">
    <w:abstractNumId w:val="1"/>
  </w:num>
  <w:num w:numId="31" w16cid:durableId="883952468">
    <w:abstractNumId w:val="8"/>
  </w:num>
  <w:num w:numId="32" w16cid:durableId="1722245906">
    <w:abstractNumId w:val="6"/>
  </w:num>
  <w:num w:numId="33" w16cid:durableId="919101431">
    <w:abstractNumId w:val="24"/>
  </w:num>
  <w:num w:numId="34" w16cid:durableId="1665550128">
    <w:abstractNumId w:val="12"/>
  </w:num>
  <w:num w:numId="35" w16cid:durableId="148906060">
    <w:abstractNumId w:val="30"/>
  </w:num>
  <w:num w:numId="36" w16cid:durableId="74484292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steller, Daniel">
    <w15:presenceInfo w15:providerId="AD" w15:userId="S::Dmosteller@NCDOJ.GOV::31237710-2260-45e1-abc0-e0d5170344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B2"/>
    <w:rsid w:val="000153FF"/>
    <w:rsid w:val="00016B89"/>
    <w:rsid w:val="00023163"/>
    <w:rsid w:val="00030859"/>
    <w:rsid w:val="000351DF"/>
    <w:rsid w:val="00036BBF"/>
    <w:rsid w:val="00043EB7"/>
    <w:rsid w:val="00050846"/>
    <w:rsid w:val="00063AE4"/>
    <w:rsid w:val="00066D0C"/>
    <w:rsid w:val="00072733"/>
    <w:rsid w:val="00097884"/>
    <w:rsid w:val="000A3116"/>
    <w:rsid w:val="000B3C41"/>
    <w:rsid w:val="000C05D6"/>
    <w:rsid w:val="000C64AA"/>
    <w:rsid w:val="000D48A0"/>
    <w:rsid w:val="000E2AC4"/>
    <w:rsid w:val="000F459A"/>
    <w:rsid w:val="00107375"/>
    <w:rsid w:val="00111206"/>
    <w:rsid w:val="001128CA"/>
    <w:rsid w:val="00113827"/>
    <w:rsid w:val="00140A23"/>
    <w:rsid w:val="001430F7"/>
    <w:rsid w:val="00147952"/>
    <w:rsid w:val="001501A5"/>
    <w:rsid w:val="0015511D"/>
    <w:rsid w:val="001604B9"/>
    <w:rsid w:val="0016402C"/>
    <w:rsid w:val="00170A4F"/>
    <w:rsid w:val="00175E97"/>
    <w:rsid w:val="00192189"/>
    <w:rsid w:val="00192E4C"/>
    <w:rsid w:val="001B0876"/>
    <w:rsid w:val="001D0085"/>
    <w:rsid w:val="001D2333"/>
    <w:rsid w:val="001D36E8"/>
    <w:rsid w:val="001F4A17"/>
    <w:rsid w:val="001F5B2B"/>
    <w:rsid w:val="002005CD"/>
    <w:rsid w:val="002048B4"/>
    <w:rsid w:val="002110F3"/>
    <w:rsid w:val="002165D1"/>
    <w:rsid w:val="002415EC"/>
    <w:rsid w:val="0024598A"/>
    <w:rsid w:val="00253DEB"/>
    <w:rsid w:val="00254DC2"/>
    <w:rsid w:val="00262EFD"/>
    <w:rsid w:val="002659BC"/>
    <w:rsid w:val="00267E5F"/>
    <w:rsid w:val="00273928"/>
    <w:rsid w:val="002759B3"/>
    <w:rsid w:val="00284C5E"/>
    <w:rsid w:val="00284E79"/>
    <w:rsid w:val="00294327"/>
    <w:rsid w:val="002A76AF"/>
    <w:rsid w:val="002D7798"/>
    <w:rsid w:val="002F17C1"/>
    <w:rsid w:val="002F5084"/>
    <w:rsid w:val="003010C2"/>
    <w:rsid w:val="00322259"/>
    <w:rsid w:val="00324874"/>
    <w:rsid w:val="00334E57"/>
    <w:rsid w:val="00336F5E"/>
    <w:rsid w:val="0034119D"/>
    <w:rsid w:val="003442A9"/>
    <w:rsid w:val="00353010"/>
    <w:rsid w:val="00357CDB"/>
    <w:rsid w:val="00367BD1"/>
    <w:rsid w:val="00372E7B"/>
    <w:rsid w:val="00390C98"/>
    <w:rsid w:val="003917DE"/>
    <w:rsid w:val="00392FF8"/>
    <w:rsid w:val="003B13E2"/>
    <w:rsid w:val="003B1792"/>
    <w:rsid w:val="003B25FA"/>
    <w:rsid w:val="003C2C35"/>
    <w:rsid w:val="003D602A"/>
    <w:rsid w:val="003E4D3B"/>
    <w:rsid w:val="003F14AD"/>
    <w:rsid w:val="003F1506"/>
    <w:rsid w:val="004525AB"/>
    <w:rsid w:val="004776BF"/>
    <w:rsid w:val="00482A39"/>
    <w:rsid w:val="00494677"/>
    <w:rsid w:val="00496B54"/>
    <w:rsid w:val="004A7F57"/>
    <w:rsid w:val="004B5C27"/>
    <w:rsid w:val="004C159A"/>
    <w:rsid w:val="004C2FD1"/>
    <w:rsid w:val="004D4AD9"/>
    <w:rsid w:val="004D663D"/>
    <w:rsid w:val="004E72A7"/>
    <w:rsid w:val="004F2A90"/>
    <w:rsid w:val="004F63FA"/>
    <w:rsid w:val="00502231"/>
    <w:rsid w:val="00502CAB"/>
    <w:rsid w:val="00510819"/>
    <w:rsid w:val="005151B2"/>
    <w:rsid w:val="00524EDE"/>
    <w:rsid w:val="005457A8"/>
    <w:rsid w:val="00562B10"/>
    <w:rsid w:val="00567D2E"/>
    <w:rsid w:val="00572F98"/>
    <w:rsid w:val="00581CBF"/>
    <w:rsid w:val="00582D18"/>
    <w:rsid w:val="005906D3"/>
    <w:rsid w:val="005969F7"/>
    <w:rsid w:val="005A1813"/>
    <w:rsid w:val="005A6D05"/>
    <w:rsid w:val="005B5422"/>
    <w:rsid w:val="005E6BB2"/>
    <w:rsid w:val="00603319"/>
    <w:rsid w:val="0060670A"/>
    <w:rsid w:val="006110C8"/>
    <w:rsid w:val="00624822"/>
    <w:rsid w:val="00624CB7"/>
    <w:rsid w:val="00626EB0"/>
    <w:rsid w:val="00637DAC"/>
    <w:rsid w:val="00644D16"/>
    <w:rsid w:val="006548CF"/>
    <w:rsid w:val="00670C49"/>
    <w:rsid w:val="00671D3B"/>
    <w:rsid w:val="00677CD2"/>
    <w:rsid w:val="006847F5"/>
    <w:rsid w:val="00697E07"/>
    <w:rsid w:val="006B7BEE"/>
    <w:rsid w:val="00703D05"/>
    <w:rsid w:val="007222A7"/>
    <w:rsid w:val="00754A0B"/>
    <w:rsid w:val="007575FD"/>
    <w:rsid w:val="00775390"/>
    <w:rsid w:val="00784B52"/>
    <w:rsid w:val="007873B3"/>
    <w:rsid w:val="007A448C"/>
    <w:rsid w:val="007B3A89"/>
    <w:rsid w:val="007B5176"/>
    <w:rsid w:val="007C5532"/>
    <w:rsid w:val="007D40F3"/>
    <w:rsid w:val="007D4E57"/>
    <w:rsid w:val="007E613B"/>
    <w:rsid w:val="007E7F8C"/>
    <w:rsid w:val="007F1602"/>
    <w:rsid w:val="007F4152"/>
    <w:rsid w:val="008078DD"/>
    <w:rsid w:val="00816EA7"/>
    <w:rsid w:val="00825850"/>
    <w:rsid w:val="00830F8D"/>
    <w:rsid w:val="00836302"/>
    <w:rsid w:val="00847C36"/>
    <w:rsid w:val="00850BA2"/>
    <w:rsid w:val="00870DE8"/>
    <w:rsid w:val="0087322A"/>
    <w:rsid w:val="008B25B2"/>
    <w:rsid w:val="008F05BF"/>
    <w:rsid w:val="008F77B3"/>
    <w:rsid w:val="00900054"/>
    <w:rsid w:val="00906CB9"/>
    <w:rsid w:val="00910725"/>
    <w:rsid w:val="00940E6E"/>
    <w:rsid w:val="009574B3"/>
    <w:rsid w:val="009617C7"/>
    <w:rsid w:val="00967547"/>
    <w:rsid w:val="009712EB"/>
    <w:rsid w:val="009719C4"/>
    <w:rsid w:val="009763C0"/>
    <w:rsid w:val="009766DB"/>
    <w:rsid w:val="009931BD"/>
    <w:rsid w:val="009A0455"/>
    <w:rsid w:val="009A5467"/>
    <w:rsid w:val="009B4FF9"/>
    <w:rsid w:val="009D3A06"/>
    <w:rsid w:val="009E5B4C"/>
    <w:rsid w:val="00A01DDB"/>
    <w:rsid w:val="00A07C59"/>
    <w:rsid w:val="00A13F4B"/>
    <w:rsid w:val="00A540F1"/>
    <w:rsid w:val="00A65EFC"/>
    <w:rsid w:val="00A7465B"/>
    <w:rsid w:val="00A906E0"/>
    <w:rsid w:val="00AA54B4"/>
    <w:rsid w:val="00AA6696"/>
    <w:rsid w:val="00AB475E"/>
    <w:rsid w:val="00AC74F8"/>
    <w:rsid w:val="00AD73DC"/>
    <w:rsid w:val="00B407A1"/>
    <w:rsid w:val="00B4699F"/>
    <w:rsid w:val="00B54EEA"/>
    <w:rsid w:val="00B648F0"/>
    <w:rsid w:val="00B72C6D"/>
    <w:rsid w:val="00B73C05"/>
    <w:rsid w:val="00B9462E"/>
    <w:rsid w:val="00BA20AE"/>
    <w:rsid w:val="00BA71C5"/>
    <w:rsid w:val="00BB2602"/>
    <w:rsid w:val="00BC6784"/>
    <w:rsid w:val="00BD6ABB"/>
    <w:rsid w:val="00BE646B"/>
    <w:rsid w:val="00BF00C9"/>
    <w:rsid w:val="00BF188F"/>
    <w:rsid w:val="00BF2191"/>
    <w:rsid w:val="00C0696A"/>
    <w:rsid w:val="00C074AF"/>
    <w:rsid w:val="00C403FF"/>
    <w:rsid w:val="00C45F12"/>
    <w:rsid w:val="00C465A7"/>
    <w:rsid w:val="00C5388B"/>
    <w:rsid w:val="00C66F33"/>
    <w:rsid w:val="00C73F97"/>
    <w:rsid w:val="00C7588B"/>
    <w:rsid w:val="00C8131D"/>
    <w:rsid w:val="00C85DA8"/>
    <w:rsid w:val="00C90EB0"/>
    <w:rsid w:val="00C90F56"/>
    <w:rsid w:val="00C92655"/>
    <w:rsid w:val="00C92CE0"/>
    <w:rsid w:val="00CA4A71"/>
    <w:rsid w:val="00CA67BB"/>
    <w:rsid w:val="00CE322C"/>
    <w:rsid w:val="00CE5A54"/>
    <w:rsid w:val="00CF351E"/>
    <w:rsid w:val="00D00559"/>
    <w:rsid w:val="00D018B3"/>
    <w:rsid w:val="00D17BA1"/>
    <w:rsid w:val="00D233CA"/>
    <w:rsid w:val="00D42DC0"/>
    <w:rsid w:val="00D55294"/>
    <w:rsid w:val="00D62541"/>
    <w:rsid w:val="00D626F6"/>
    <w:rsid w:val="00D81860"/>
    <w:rsid w:val="00DA2227"/>
    <w:rsid w:val="00DC3C55"/>
    <w:rsid w:val="00DC3D32"/>
    <w:rsid w:val="00DF767F"/>
    <w:rsid w:val="00E03B75"/>
    <w:rsid w:val="00E127D1"/>
    <w:rsid w:val="00E176A4"/>
    <w:rsid w:val="00E36CD6"/>
    <w:rsid w:val="00E542A0"/>
    <w:rsid w:val="00E6439A"/>
    <w:rsid w:val="00E66F45"/>
    <w:rsid w:val="00E7423F"/>
    <w:rsid w:val="00E773BF"/>
    <w:rsid w:val="00E85DAF"/>
    <w:rsid w:val="00E86B7C"/>
    <w:rsid w:val="00E91960"/>
    <w:rsid w:val="00EA1625"/>
    <w:rsid w:val="00EA317A"/>
    <w:rsid w:val="00EB5DB7"/>
    <w:rsid w:val="00EC46EE"/>
    <w:rsid w:val="00EC5CA2"/>
    <w:rsid w:val="00ED008F"/>
    <w:rsid w:val="00EF0193"/>
    <w:rsid w:val="00EF2F15"/>
    <w:rsid w:val="00F14D74"/>
    <w:rsid w:val="00F14FFF"/>
    <w:rsid w:val="00F22FF1"/>
    <w:rsid w:val="00F409C2"/>
    <w:rsid w:val="00F411FC"/>
    <w:rsid w:val="00F41D07"/>
    <w:rsid w:val="00F6667A"/>
    <w:rsid w:val="00F872B6"/>
    <w:rsid w:val="00F95B08"/>
    <w:rsid w:val="00FB19B6"/>
    <w:rsid w:val="00FB517A"/>
    <w:rsid w:val="00FB5E54"/>
    <w:rsid w:val="00FD71BF"/>
    <w:rsid w:val="00FF2D04"/>
    <w:rsid w:val="00FF48B2"/>
    <w:rsid w:val="00FF79B9"/>
    <w:rsid w:val="00FF7A68"/>
    <w:rsid w:val="045D98E8"/>
    <w:rsid w:val="0575670F"/>
    <w:rsid w:val="05C30CE8"/>
    <w:rsid w:val="06D3492E"/>
    <w:rsid w:val="06F8B25A"/>
    <w:rsid w:val="0913A336"/>
    <w:rsid w:val="0A832AE3"/>
    <w:rsid w:val="0AAA7B6F"/>
    <w:rsid w:val="0BFE5DFD"/>
    <w:rsid w:val="13BE0D05"/>
    <w:rsid w:val="150CFAA6"/>
    <w:rsid w:val="15A9AD74"/>
    <w:rsid w:val="1AF8BA85"/>
    <w:rsid w:val="1D3C527F"/>
    <w:rsid w:val="1ED822E0"/>
    <w:rsid w:val="1FA0F60A"/>
    <w:rsid w:val="22B53337"/>
    <w:rsid w:val="22BFBE96"/>
    <w:rsid w:val="24424944"/>
    <w:rsid w:val="2610378E"/>
    <w:rsid w:val="26892968"/>
    <w:rsid w:val="27B30AD6"/>
    <w:rsid w:val="287EB4FF"/>
    <w:rsid w:val="28F3059D"/>
    <w:rsid w:val="29C5B55B"/>
    <w:rsid w:val="2AAD053A"/>
    <w:rsid w:val="2DD933DF"/>
    <w:rsid w:val="2E66A135"/>
    <w:rsid w:val="2F17EF83"/>
    <w:rsid w:val="35F177E9"/>
    <w:rsid w:val="3BC4491C"/>
    <w:rsid w:val="3CD86422"/>
    <w:rsid w:val="3EF2DF76"/>
    <w:rsid w:val="4846EDF0"/>
    <w:rsid w:val="49774F5E"/>
    <w:rsid w:val="52387195"/>
    <w:rsid w:val="53EC23C4"/>
    <w:rsid w:val="54D03756"/>
    <w:rsid w:val="55AB67E8"/>
    <w:rsid w:val="5674160E"/>
    <w:rsid w:val="56A25961"/>
    <w:rsid w:val="58CFB6FE"/>
    <w:rsid w:val="5A798A12"/>
    <w:rsid w:val="5D08EFC5"/>
    <w:rsid w:val="63E2DF35"/>
    <w:rsid w:val="64850DF0"/>
    <w:rsid w:val="64BC8DE8"/>
    <w:rsid w:val="675CC617"/>
    <w:rsid w:val="6CCA4F50"/>
    <w:rsid w:val="71EC48F1"/>
    <w:rsid w:val="734F73B2"/>
    <w:rsid w:val="77A0C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443B524"/>
  <w15:docId w15:val="{32B5128C-2DDE-407E-BA55-E0031A4F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2E"/>
    <w:rPr>
      <w:rFonts w:ascii="Century Schoolbook" w:hAnsi="Century Schoolbook" w:cs="Times New Roman"/>
    </w:rPr>
  </w:style>
  <w:style w:type="paragraph" w:styleId="Heading1">
    <w:name w:val="heading 1"/>
    <w:basedOn w:val="Normal"/>
    <w:link w:val="Heading1Char"/>
    <w:qFormat/>
    <w:rsid w:val="00043EB7"/>
    <w:pPr>
      <w:numPr>
        <w:numId w:val="1"/>
      </w:numPr>
      <w:spacing w:after="240"/>
      <w:outlineLvl w:val="0"/>
    </w:pPr>
    <w:rPr>
      <w:rFonts w:eastAsiaTheme="majorEastAsia"/>
      <w:bCs/>
      <w:color w:val="000000"/>
      <w:szCs w:val="28"/>
    </w:rPr>
  </w:style>
  <w:style w:type="paragraph" w:styleId="Heading2">
    <w:name w:val="heading 2"/>
    <w:basedOn w:val="Normal"/>
    <w:link w:val="Heading2Char"/>
    <w:semiHidden/>
    <w:unhideWhenUsed/>
    <w:qFormat/>
    <w:rsid w:val="00043EB7"/>
    <w:pPr>
      <w:numPr>
        <w:ilvl w:val="1"/>
        <w:numId w:val="1"/>
      </w:numPr>
      <w:spacing w:after="240"/>
      <w:outlineLvl w:val="1"/>
    </w:pPr>
    <w:rPr>
      <w:rFonts w:eastAsiaTheme="majorEastAsia"/>
      <w:bCs/>
      <w:color w:val="000000"/>
      <w:szCs w:val="26"/>
    </w:rPr>
  </w:style>
  <w:style w:type="paragraph" w:styleId="Heading3">
    <w:name w:val="heading 3"/>
    <w:basedOn w:val="Normal"/>
    <w:link w:val="Heading3Char"/>
    <w:semiHidden/>
    <w:unhideWhenUsed/>
    <w:qFormat/>
    <w:rsid w:val="00043EB7"/>
    <w:pPr>
      <w:numPr>
        <w:ilvl w:val="2"/>
        <w:numId w:val="1"/>
      </w:numPr>
      <w:spacing w:after="240"/>
      <w:outlineLvl w:val="2"/>
    </w:pPr>
    <w:rPr>
      <w:rFonts w:eastAsiaTheme="majorEastAsia"/>
      <w:bCs/>
      <w:color w:val="000000"/>
    </w:rPr>
  </w:style>
  <w:style w:type="paragraph" w:styleId="Heading4">
    <w:name w:val="heading 4"/>
    <w:basedOn w:val="Normal"/>
    <w:link w:val="Heading4Char"/>
    <w:semiHidden/>
    <w:unhideWhenUsed/>
    <w:qFormat/>
    <w:rsid w:val="00043EB7"/>
    <w:pPr>
      <w:numPr>
        <w:ilvl w:val="3"/>
        <w:numId w:val="1"/>
      </w:numPr>
      <w:spacing w:after="240"/>
      <w:outlineLvl w:val="3"/>
    </w:pPr>
    <w:rPr>
      <w:rFonts w:eastAsiaTheme="majorEastAsia"/>
      <w:bCs/>
      <w:iCs/>
      <w:color w:val="000000"/>
    </w:rPr>
  </w:style>
  <w:style w:type="paragraph" w:styleId="Heading5">
    <w:name w:val="heading 5"/>
    <w:basedOn w:val="Normal"/>
    <w:link w:val="Heading5Char"/>
    <w:semiHidden/>
    <w:unhideWhenUsed/>
    <w:qFormat/>
    <w:rsid w:val="00043EB7"/>
    <w:pPr>
      <w:numPr>
        <w:ilvl w:val="4"/>
        <w:numId w:val="1"/>
      </w:numPr>
      <w:spacing w:after="240"/>
      <w:outlineLvl w:val="4"/>
    </w:pPr>
    <w:rPr>
      <w:rFonts w:eastAsiaTheme="majorEastAsia"/>
      <w:color w:val="000000"/>
    </w:rPr>
  </w:style>
  <w:style w:type="paragraph" w:styleId="Heading6">
    <w:name w:val="heading 6"/>
    <w:basedOn w:val="Normal"/>
    <w:link w:val="Heading6Char"/>
    <w:semiHidden/>
    <w:unhideWhenUsed/>
    <w:qFormat/>
    <w:rsid w:val="00043EB7"/>
    <w:pPr>
      <w:numPr>
        <w:ilvl w:val="5"/>
        <w:numId w:val="1"/>
      </w:numPr>
      <w:spacing w:after="240"/>
      <w:outlineLvl w:val="5"/>
    </w:pPr>
    <w:rPr>
      <w:rFonts w:eastAsiaTheme="majorEastAsia"/>
      <w:iCs/>
      <w:color w:val="000000"/>
    </w:rPr>
  </w:style>
  <w:style w:type="paragraph" w:styleId="Heading7">
    <w:name w:val="heading 7"/>
    <w:basedOn w:val="Normal"/>
    <w:link w:val="Heading7Char"/>
    <w:semiHidden/>
    <w:unhideWhenUsed/>
    <w:qFormat/>
    <w:rsid w:val="00043EB7"/>
    <w:pPr>
      <w:numPr>
        <w:ilvl w:val="6"/>
        <w:numId w:val="1"/>
      </w:numPr>
      <w:spacing w:after="240"/>
      <w:outlineLvl w:val="6"/>
    </w:pPr>
    <w:rPr>
      <w:rFonts w:eastAsiaTheme="majorEastAsia"/>
      <w:iCs/>
      <w:color w:val="000000"/>
    </w:rPr>
  </w:style>
  <w:style w:type="paragraph" w:styleId="Heading8">
    <w:name w:val="heading 8"/>
    <w:basedOn w:val="Normal"/>
    <w:link w:val="Heading8Char"/>
    <w:semiHidden/>
    <w:unhideWhenUsed/>
    <w:qFormat/>
    <w:rsid w:val="00043EB7"/>
    <w:pPr>
      <w:numPr>
        <w:ilvl w:val="7"/>
        <w:numId w:val="1"/>
      </w:numPr>
      <w:spacing w:after="240"/>
      <w:outlineLvl w:val="7"/>
    </w:pPr>
    <w:rPr>
      <w:rFonts w:eastAsiaTheme="majorEastAsia"/>
      <w:color w:val="000000"/>
      <w:szCs w:val="20"/>
    </w:rPr>
  </w:style>
  <w:style w:type="paragraph" w:styleId="Heading9">
    <w:name w:val="heading 9"/>
    <w:basedOn w:val="Normal"/>
    <w:link w:val="Heading9Char"/>
    <w:semiHidden/>
    <w:unhideWhenUsed/>
    <w:qFormat/>
    <w:rsid w:val="00043EB7"/>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A54B4"/>
    <w:pPr>
      <w:spacing w:after="240"/>
    </w:pPr>
  </w:style>
  <w:style w:type="character" w:customStyle="1" w:styleId="BodyTextChar">
    <w:name w:val="Body Text Char"/>
    <w:basedOn w:val="DefaultParagraphFont"/>
    <w:link w:val="BodyText"/>
    <w:rsid w:val="00AA54B4"/>
  </w:style>
  <w:style w:type="paragraph" w:styleId="Header">
    <w:name w:val="header"/>
    <w:basedOn w:val="Normal"/>
    <w:link w:val="HeaderChar"/>
    <w:uiPriority w:val="99"/>
    <w:unhideWhenUsed/>
    <w:rsid w:val="00567D2E"/>
    <w:pPr>
      <w:tabs>
        <w:tab w:val="center" w:pos="4680"/>
        <w:tab w:val="right" w:pos="9360"/>
      </w:tabs>
    </w:pPr>
  </w:style>
  <w:style w:type="character" w:customStyle="1" w:styleId="HeaderChar">
    <w:name w:val="Header Char"/>
    <w:basedOn w:val="DefaultParagraphFont"/>
    <w:link w:val="Header"/>
    <w:uiPriority w:val="99"/>
    <w:rsid w:val="00AA54B4"/>
    <w:rPr>
      <w:rFonts w:ascii="Century Schoolbook" w:hAnsi="Century Schoolbook" w:cs="Times New Roman"/>
    </w:rPr>
  </w:style>
  <w:style w:type="paragraph" w:styleId="Footer">
    <w:name w:val="footer"/>
    <w:basedOn w:val="Normal"/>
    <w:link w:val="FooterChar"/>
    <w:uiPriority w:val="99"/>
    <w:unhideWhenUsed/>
    <w:rsid w:val="00567D2E"/>
    <w:pPr>
      <w:tabs>
        <w:tab w:val="center" w:pos="4680"/>
        <w:tab w:val="right" w:pos="9360"/>
      </w:tabs>
    </w:pPr>
  </w:style>
  <w:style w:type="character" w:customStyle="1" w:styleId="FooterChar">
    <w:name w:val="Footer Char"/>
    <w:basedOn w:val="DefaultParagraphFont"/>
    <w:link w:val="Footer"/>
    <w:uiPriority w:val="99"/>
    <w:rsid w:val="00AA54B4"/>
    <w:rPr>
      <w:rFonts w:ascii="Century Schoolbook" w:hAnsi="Century Schoolbook" w:cs="Times New Roman"/>
    </w:rPr>
  </w:style>
  <w:style w:type="paragraph" w:styleId="Quote">
    <w:name w:val="Quote"/>
    <w:basedOn w:val="Normal"/>
    <w:next w:val="Normal"/>
    <w:link w:val="QuoteChar"/>
    <w:qFormat/>
    <w:rsid w:val="00E66F45"/>
    <w:pPr>
      <w:spacing w:after="240"/>
      <w:ind w:left="720" w:right="720"/>
    </w:pPr>
    <w:rPr>
      <w:iCs/>
    </w:rPr>
  </w:style>
  <w:style w:type="character" w:customStyle="1" w:styleId="QuoteChar">
    <w:name w:val="Quote Char"/>
    <w:basedOn w:val="DefaultParagraphFont"/>
    <w:link w:val="Quote"/>
    <w:rsid w:val="00E66F45"/>
    <w:rPr>
      <w:iCs/>
    </w:rPr>
  </w:style>
  <w:style w:type="paragraph" w:styleId="Subtitle">
    <w:name w:val="Subtitle"/>
    <w:basedOn w:val="Normal"/>
    <w:next w:val="BodyText"/>
    <w:link w:val="SubtitleChar"/>
    <w:qFormat/>
    <w:rsid w:val="00E66F45"/>
    <w:pPr>
      <w:numPr>
        <w:ilvl w:val="1"/>
      </w:numPr>
      <w:spacing w:after="240"/>
    </w:pPr>
    <w:rPr>
      <w:rFonts w:asciiTheme="majorHAnsi" w:eastAsiaTheme="majorEastAsia" w:hAnsiTheme="majorHAnsi" w:cstheme="majorBidi"/>
      <w:iCs/>
    </w:rPr>
  </w:style>
  <w:style w:type="paragraph" w:styleId="BodyText2">
    <w:name w:val="Body Text 2"/>
    <w:basedOn w:val="Normal"/>
    <w:link w:val="BodyText2Char"/>
    <w:qFormat/>
    <w:rsid w:val="00E66F45"/>
    <w:pPr>
      <w:spacing w:line="480" w:lineRule="auto"/>
    </w:pPr>
  </w:style>
  <w:style w:type="character" w:customStyle="1" w:styleId="BodyText2Char">
    <w:name w:val="Body Text 2 Char"/>
    <w:basedOn w:val="DefaultParagraphFont"/>
    <w:link w:val="BodyText2"/>
    <w:rsid w:val="00E66F45"/>
  </w:style>
  <w:style w:type="character" w:customStyle="1" w:styleId="SubtitleChar">
    <w:name w:val="Subtitle Char"/>
    <w:basedOn w:val="DefaultParagraphFont"/>
    <w:link w:val="Subtitle"/>
    <w:rsid w:val="00E66F45"/>
    <w:rPr>
      <w:rFonts w:asciiTheme="majorHAnsi" w:eastAsiaTheme="majorEastAsia" w:hAnsiTheme="majorHAnsi" w:cstheme="majorBidi"/>
      <w:iCs/>
    </w:rPr>
  </w:style>
  <w:style w:type="paragraph" w:styleId="Title">
    <w:name w:val="Title"/>
    <w:basedOn w:val="Normal"/>
    <w:next w:val="BodyText"/>
    <w:link w:val="TitleChar"/>
    <w:qFormat/>
    <w:rsid w:val="00E66F45"/>
    <w:pPr>
      <w:keepNext/>
      <w:spacing w:after="240"/>
      <w:jc w:val="center"/>
    </w:pPr>
    <w:rPr>
      <w:rFonts w:asciiTheme="majorHAnsi" w:eastAsiaTheme="majorEastAsia" w:hAnsiTheme="majorHAnsi" w:cstheme="majorBidi"/>
      <w:b/>
      <w:spacing w:val="5"/>
      <w:kern w:val="28"/>
      <w:szCs w:val="52"/>
    </w:rPr>
  </w:style>
  <w:style w:type="character" w:customStyle="1" w:styleId="TitleChar">
    <w:name w:val="Title Char"/>
    <w:basedOn w:val="DefaultParagraphFont"/>
    <w:link w:val="Title"/>
    <w:rsid w:val="00E66F45"/>
    <w:rPr>
      <w:rFonts w:asciiTheme="majorHAnsi" w:eastAsiaTheme="majorEastAsia" w:hAnsiTheme="majorHAnsi" w:cstheme="majorBidi"/>
      <w:b/>
      <w:spacing w:val="5"/>
      <w:kern w:val="28"/>
      <w:szCs w:val="52"/>
    </w:rPr>
  </w:style>
  <w:style w:type="paragraph" w:styleId="BodyTextFirstIndent">
    <w:name w:val="Body Text First Indent"/>
    <w:basedOn w:val="BodyText"/>
    <w:link w:val="BodyTextFirstIndentChar"/>
    <w:rsid w:val="00192E4C"/>
    <w:pPr>
      <w:ind w:firstLine="720"/>
    </w:pPr>
  </w:style>
  <w:style w:type="character" w:customStyle="1" w:styleId="BodyTextFirstIndentChar">
    <w:name w:val="Body Text First Indent Char"/>
    <w:basedOn w:val="BodyTextChar"/>
    <w:link w:val="BodyTextFirstIndent"/>
    <w:rsid w:val="00192E4C"/>
  </w:style>
  <w:style w:type="character" w:customStyle="1" w:styleId="Heading1Char">
    <w:name w:val="Heading 1 Char"/>
    <w:basedOn w:val="DefaultParagraphFont"/>
    <w:link w:val="Heading1"/>
    <w:rsid w:val="00043EB7"/>
    <w:rPr>
      <w:rFonts w:ascii="Times New Roman" w:eastAsiaTheme="majorEastAsia" w:hAnsi="Times New Roman" w:cs="Times New Roman"/>
      <w:bCs/>
      <w:color w:val="000000"/>
      <w:szCs w:val="28"/>
    </w:rPr>
  </w:style>
  <w:style w:type="character" w:customStyle="1" w:styleId="Heading2Char">
    <w:name w:val="Heading 2 Char"/>
    <w:basedOn w:val="DefaultParagraphFont"/>
    <w:link w:val="Heading2"/>
    <w:semiHidden/>
    <w:rsid w:val="00043EB7"/>
    <w:rPr>
      <w:rFonts w:ascii="Times New Roman" w:eastAsiaTheme="majorEastAsia" w:hAnsi="Times New Roman" w:cs="Times New Roman"/>
      <w:bCs/>
      <w:color w:val="000000"/>
      <w:szCs w:val="26"/>
    </w:rPr>
  </w:style>
  <w:style w:type="character" w:customStyle="1" w:styleId="Heading3Char">
    <w:name w:val="Heading 3 Char"/>
    <w:basedOn w:val="DefaultParagraphFont"/>
    <w:link w:val="Heading3"/>
    <w:semiHidden/>
    <w:rsid w:val="00043EB7"/>
    <w:rPr>
      <w:rFonts w:ascii="Times New Roman" w:eastAsiaTheme="majorEastAsia" w:hAnsi="Times New Roman" w:cs="Times New Roman"/>
      <w:bCs/>
      <w:color w:val="000000"/>
    </w:rPr>
  </w:style>
  <w:style w:type="character" w:customStyle="1" w:styleId="Heading4Char">
    <w:name w:val="Heading 4 Char"/>
    <w:basedOn w:val="DefaultParagraphFont"/>
    <w:link w:val="Heading4"/>
    <w:semiHidden/>
    <w:rsid w:val="00043EB7"/>
    <w:rPr>
      <w:rFonts w:ascii="Times New Roman" w:eastAsiaTheme="majorEastAsia" w:hAnsi="Times New Roman" w:cs="Times New Roman"/>
      <w:bCs/>
      <w:iCs/>
      <w:color w:val="000000"/>
    </w:rPr>
  </w:style>
  <w:style w:type="character" w:customStyle="1" w:styleId="Heading5Char">
    <w:name w:val="Heading 5 Char"/>
    <w:basedOn w:val="DefaultParagraphFont"/>
    <w:link w:val="Heading5"/>
    <w:semiHidden/>
    <w:rsid w:val="00043EB7"/>
    <w:rPr>
      <w:rFonts w:ascii="Times New Roman" w:eastAsiaTheme="majorEastAsia" w:hAnsi="Times New Roman" w:cs="Times New Roman"/>
      <w:color w:val="000000"/>
    </w:rPr>
  </w:style>
  <w:style w:type="character" w:customStyle="1" w:styleId="Heading6Char">
    <w:name w:val="Heading 6 Char"/>
    <w:basedOn w:val="DefaultParagraphFont"/>
    <w:link w:val="Heading6"/>
    <w:semiHidden/>
    <w:rsid w:val="00043EB7"/>
    <w:rPr>
      <w:rFonts w:ascii="Times New Roman" w:eastAsiaTheme="majorEastAsia" w:hAnsi="Times New Roman" w:cs="Times New Roman"/>
      <w:iCs/>
      <w:color w:val="000000"/>
    </w:rPr>
  </w:style>
  <w:style w:type="character" w:customStyle="1" w:styleId="Heading7Char">
    <w:name w:val="Heading 7 Char"/>
    <w:basedOn w:val="DefaultParagraphFont"/>
    <w:link w:val="Heading7"/>
    <w:semiHidden/>
    <w:rsid w:val="00043EB7"/>
    <w:rPr>
      <w:rFonts w:ascii="Times New Roman" w:eastAsiaTheme="majorEastAsia" w:hAnsi="Times New Roman" w:cs="Times New Roman"/>
      <w:iCs/>
      <w:color w:val="000000"/>
    </w:rPr>
  </w:style>
  <w:style w:type="character" w:customStyle="1" w:styleId="Heading8Char">
    <w:name w:val="Heading 8 Char"/>
    <w:basedOn w:val="DefaultParagraphFont"/>
    <w:link w:val="Heading8"/>
    <w:semiHidden/>
    <w:rsid w:val="00043EB7"/>
    <w:rPr>
      <w:rFonts w:ascii="Times New Roman" w:eastAsiaTheme="majorEastAsia" w:hAnsi="Times New Roman" w:cs="Times New Roman"/>
      <w:color w:val="000000"/>
      <w:szCs w:val="20"/>
    </w:rPr>
  </w:style>
  <w:style w:type="character" w:customStyle="1" w:styleId="Heading9Char">
    <w:name w:val="Heading 9 Char"/>
    <w:basedOn w:val="DefaultParagraphFont"/>
    <w:link w:val="Heading9"/>
    <w:semiHidden/>
    <w:rsid w:val="00043EB7"/>
    <w:rPr>
      <w:rFonts w:ascii="Times New Roman" w:eastAsiaTheme="majorEastAsia" w:hAnsi="Times New Roman" w:cs="Times New Roman"/>
      <w:iCs/>
      <w:color w:val="000000"/>
      <w:szCs w:val="20"/>
    </w:rPr>
  </w:style>
  <w:style w:type="character" w:customStyle="1" w:styleId="DocID">
    <w:name w:val="DocID"/>
    <w:basedOn w:val="DefaultParagraphFont"/>
    <w:uiPriority w:val="99"/>
    <w:semiHidden/>
    <w:rsid w:val="00016B89"/>
    <w:rPr>
      <w:sz w:val="20"/>
    </w:rPr>
  </w:style>
  <w:style w:type="paragraph" w:styleId="ListParagraph">
    <w:name w:val="List Paragraph"/>
    <w:basedOn w:val="Normal"/>
    <w:uiPriority w:val="34"/>
    <w:qFormat/>
    <w:rsid w:val="005E6BB2"/>
    <w:pPr>
      <w:ind w:left="720"/>
      <w:contextualSpacing/>
    </w:pPr>
  </w:style>
  <w:style w:type="paragraph" w:styleId="Revision">
    <w:name w:val="Revision"/>
    <w:hidden/>
    <w:uiPriority w:val="99"/>
    <w:semiHidden/>
    <w:rsid w:val="00567D2E"/>
    <w:rPr>
      <w:rFonts w:ascii="Century Schoolbook" w:hAnsi="Century Schoolbook" w:cs="Times New Roman"/>
    </w:rPr>
  </w:style>
  <w:style w:type="character" w:styleId="CommentReference">
    <w:name w:val="annotation reference"/>
    <w:basedOn w:val="DefaultParagraphFont"/>
    <w:uiPriority w:val="99"/>
    <w:semiHidden/>
    <w:unhideWhenUsed/>
    <w:rsid w:val="00567D2E"/>
    <w:rPr>
      <w:sz w:val="16"/>
      <w:szCs w:val="16"/>
    </w:rPr>
  </w:style>
  <w:style w:type="paragraph" w:styleId="CommentText">
    <w:name w:val="annotation text"/>
    <w:basedOn w:val="Normal"/>
    <w:link w:val="CommentTextChar"/>
    <w:uiPriority w:val="99"/>
    <w:unhideWhenUsed/>
    <w:rsid w:val="00567D2E"/>
    <w:pPr>
      <w:spacing w:after="160"/>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567D2E"/>
    <w:rPr>
      <w:color w:val="auto"/>
      <w:sz w:val="20"/>
      <w:szCs w:val="20"/>
    </w:rPr>
  </w:style>
  <w:style w:type="paragraph" w:styleId="CommentSubject">
    <w:name w:val="annotation subject"/>
    <w:basedOn w:val="CommentText"/>
    <w:next w:val="CommentText"/>
    <w:link w:val="CommentSubjectChar"/>
    <w:uiPriority w:val="99"/>
    <w:semiHidden/>
    <w:unhideWhenUsed/>
    <w:rsid w:val="00567D2E"/>
    <w:rPr>
      <w:b/>
      <w:bCs/>
    </w:rPr>
  </w:style>
  <w:style w:type="character" w:customStyle="1" w:styleId="CommentSubjectChar">
    <w:name w:val="Comment Subject Char"/>
    <w:basedOn w:val="CommentTextChar"/>
    <w:link w:val="CommentSubject"/>
    <w:uiPriority w:val="99"/>
    <w:semiHidden/>
    <w:rsid w:val="00567D2E"/>
    <w:rPr>
      <w:b/>
      <w:bCs/>
      <w:color w:val="auto"/>
      <w:sz w:val="20"/>
      <w:szCs w:val="20"/>
    </w:rPr>
  </w:style>
  <w:style w:type="paragraph" w:customStyle="1" w:styleId="Default">
    <w:name w:val="Default"/>
    <w:rsid w:val="00567D2E"/>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29E6CEB0F074FAA2ADFCC3F1233F1" ma:contentTypeVersion="11" ma:contentTypeDescription="Create a new document." ma:contentTypeScope="" ma:versionID="612ad0edad908bfa01cc74e0c227d131">
  <xsd:schema xmlns:xsd="http://www.w3.org/2001/XMLSchema" xmlns:xs="http://www.w3.org/2001/XMLSchema" xmlns:p="http://schemas.microsoft.com/office/2006/metadata/properties" xmlns:ns3="73568a69-81b3-4095-8cab-fb62f90fd4f5" xmlns:ns4="f6c3a374-bee2-4e79-a5d3-4abe583283c0" targetNamespace="http://schemas.microsoft.com/office/2006/metadata/properties" ma:root="true" ma:fieldsID="56620208502fc30fd91a7aba5add0835" ns3:_="" ns4:_="">
    <xsd:import namespace="73568a69-81b3-4095-8cab-fb62f90fd4f5"/>
    <xsd:import namespace="f6c3a374-bee2-4e79-a5d3-4abe58328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68a69-81b3-4095-8cab-fb62f90fd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c3a374-bee2-4e79-a5d3-4abe583283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F42C8-FD4B-4D34-8F98-6A044B1AA2A6}">
  <ds:schemaRefs>
    <ds:schemaRef ds:uri="http://schemas.openxmlformats.org/officeDocument/2006/bibliography"/>
  </ds:schemaRefs>
</ds:datastoreItem>
</file>

<file path=customXml/itemProps2.xml><?xml version="1.0" encoding="utf-8"?>
<ds:datastoreItem xmlns:ds="http://schemas.openxmlformats.org/officeDocument/2006/customXml" ds:itemID="{99B93EF1-196B-4611-8527-B0034DF81688}">
  <ds:schemaRefs>
    <ds:schemaRef ds:uri="http://schemas.microsoft.com/office/infopath/2007/PartnerControls"/>
    <ds:schemaRef ds:uri="http://purl.org/dc/elements/1.1/"/>
    <ds:schemaRef ds:uri="http://schemas.microsoft.com/office/2006/metadata/properties"/>
    <ds:schemaRef ds:uri="http://purl.org/dc/terms/"/>
    <ds:schemaRef ds:uri="73568a69-81b3-4095-8cab-fb62f90fd4f5"/>
    <ds:schemaRef ds:uri="http://schemas.microsoft.com/office/2006/documentManagement/types"/>
    <ds:schemaRef ds:uri="http://schemas.openxmlformats.org/package/2006/metadata/core-properties"/>
    <ds:schemaRef ds:uri="f6c3a374-bee2-4e79-a5d3-4abe583283c0"/>
    <ds:schemaRef ds:uri="http://www.w3.org/XML/1998/namespace"/>
    <ds:schemaRef ds:uri="http://purl.org/dc/dcmitype/"/>
  </ds:schemaRefs>
</ds:datastoreItem>
</file>

<file path=customXml/itemProps3.xml><?xml version="1.0" encoding="utf-8"?>
<ds:datastoreItem xmlns:ds="http://schemas.openxmlformats.org/officeDocument/2006/customXml" ds:itemID="{1C34844C-771B-4240-B9D0-D0D60FB7B67B}">
  <ds:schemaRefs>
    <ds:schemaRef ds:uri="http://schemas.microsoft.com/sharepoint/v3/contenttype/forms"/>
  </ds:schemaRefs>
</ds:datastoreItem>
</file>

<file path=customXml/itemProps4.xml><?xml version="1.0" encoding="utf-8"?>
<ds:datastoreItem xmlns:ds="http://schemas.openxmlformats.org/officeDocument/2006/customXml" ds:itemID="{58A45B99-1DBE-4C9E-B2DF-456658BF7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68a69-81b3-4095-8cab-fb62f90fd4f5"/>
    <ds:schemaRef ds:uri="f6c3a374-bee2-4e79-a5d3-4abe58328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Mosteller, Daniel</dc:creator>
  <cp:lastModifiedBy>Mosteller, Daniel</cp:lastModifiedBy>
  <cp:revision>2</cp:revision>
  <cp:lastPrinted>2024-05-02T14:06:00Z</cp:lastPrinted>
  <dcterms:created xsi:type="dcterms:W3CDTF">2025-06-10T18:39:00Z</dcterms:created>
  <dcterms:modified xsi:type="dcterms:W3CDTF">2025-06-10T18:39:00Z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0x010100D5929E6CEB0F074FAA2ADFCC3F1233F1</vt:lpwstr>
  </property>
</Properties>
</file>